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B64BA" w14:textId="208F9178" w:rsidR="00364DF6" w:rsidRDefault="00364DF6" w:rsidP="00364DF6">
      <w:pPr>
        <w:ind w:left="-709"/>
        <w:jc w:val="center"/>
        <w:rPr>
          <w:b/>
          <w:bCs/>
        </w:rPr>
      </w:pPr>
    </w:p>
    <w:p w14:paraId="4B4D2687" w14:textId="7024A2BB" w:rsidR="00472365" w:rsidRPr="00242A89" w:rsidRDefault="00242A89" w:rsidP="00493EA0">
      <w:pPr>
        <w:spacing w:after="0"/>
        <w:ind w:left="-851"/>
        <w:jc w:val="center"/>
        <w:rPr>
          <w:b/>
          <w:sz w:val="28"/>
          <w:szCs w:val="28"/>
        </w:rPr>
      </w:pPr>
      <w:r w:rsidRPr="00242A89">
        <w:rPr>
          <w:b/>
          <w:sz w:val="24"/>
          <w:szCs w:val="24"/>
        </w:rPr>
        <w:t xml:space="preserve">What impact does a </w:t>
      </w:r>
      <w:proofErr w:type="gramStart"/>
      <w:r w:rsidRPr="00242A89">
        <w:rPr>
          <w:b/>
          <w:sz w:val="24"/>
          <w:szCs w:val="24"/>
        </w:rPr>
        <w:t>6-12 year-old</w:t>
      </w:r>
      <w:proofErr w:type="gramEnd"/>
      <w:r w:rsidRPr="00242A89">
        <w:rPr>
          <w:b/>
          <w:sz w:val="24"/>
          <w:szCs w:val="24"/>
        </w:rPr>
        <w:t xml:space="preserve"> child’s pencil grasp have on their handwriting performance?</w:t>
      </w:r>
      <w:r w:rsidRPr="00242A89">
        <w:rPr>
          <w:b/>
          <w:sz w:val="28"/>
          <w:szCs w:val="28"/>
        </w:rPr>
        <w:t xml:space="preserve"> </w:t>
      </w:r>
    </w:p>
    <w:p w14:paraId="43E0E9AC" w14:textId="77777777" w:rsidR="00364DF6" w:rsidRDefault="00364DF6" w:rsidP="00BD5CE0">
      <w:pPr>
        <w:spacing w:after="0"/>
        <w:rPr>
          <w:b/>
          <w:bCs/>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6"/>
        <w:gridCol w:w="8810"/>
      </w:tblGrid>
      <w:tr w:rsidR="00242A89" w14:paraId="21FF9DCD" w14:textId="77777777" w:rsidTr="00BD5CE0">
        <w:trPr>
          <w:trHeight w:val="269"/>
        </w:trPr>
        <w:tc>
          <w:tcPr>
            <w:tcW w:w="2106" w:type="dxa"/>
            <w:vAlign w:val="center"/>
          </w:tcPr>
          <w:p w14:paraId="69797CEA" w14:textId="362DB58D" w:rsidR="00242A89" w:rsidRDefault="00242A89" w:rsidP="00493EA0">
            <w:pPr>
              <w:spacing w:after="0" w:line="240" w:lineRule="auto"/>
              <w:rPr>
                <w:b/>
                <w:bCs/>
              </w:rPr>
            </w:pPr>
            <w:r>
              <w:rPr>
                <w:b/>
                <w:bCs/>
              </w:rPr>
              <w:t>Authors</w:t>
            </w:r>
          </w:p>
        </w:tc>
        <w:tc>
          <w:tcPr>
            <w:tcW w:w="8810" w:type="dxa"/>
          </w:tcPr>
          <w:p w14:paraId="74BA168A" w14:textId="129DABB5" w:rsidR="00242A89" w:rsidRPr="00E52B88" w:rsidRDefault="00242A89" w:rsidP="00344493">
            <w:pPr>
              <w:spacing w:after="0" w:line="240" w:lineRule="auto"/>
              <w:jc w:val="both"/>
              <w:rPr>
                <w:bCs/>
                <w:sz w:val="20"/>
                <w:szCs w:val="20"/>
              </w:rPr>
            </w:pPr>
            <w:r w:rsidRPr="00E52B88">
              <w:rPr>
                <w:bCs/>
                <w:sz w:val="20"/>
                <w:szCs w:val="20"/>
              </w:rPr>
              <w:t>Tracy Goh, Eleni Makris, Eugide Thomas Seraphin and Alice Winter</w:t>
            </w:r>
          </w:p>
        </w:tc>
      </w:tr>
      <w:tr w:rsidR="00364DF6" w14:paraId="634D82FB" w14:textId="5775AD79" w:rsidTr="008A4441">
        <w:trPr>
          <w:trHeight w:val="152"/>
        </w:trPr>
        <w:tc>
          <w:tcPr>
            <w:tcW w:w="2106" w:type="dxa"/>
            <w:vAlign w:val="center"/>
          </w:tcPr>
          <w:p w14:paraId="4ABA2C97" w14:textId="58671819" w:rsidR="00364DF6" w:rsidRDefault="008F35F7" w:rsidP="00493EA0">
            <w:pPr>
              <w:spacing w:after="0" w:line="240" w:lineRule="auto"/>
              <w:rPr>
                <w:b/>
                <w:bCs/>
              </w:rPr>
            </w:pPr>
            <w:r>
              <w:rPr>
                <w:b/>
                <w:bCs/>
              </w:rPr>
              <w:t>Relevant</w:t>
            </w:r>
            <w:r w:rsidR="008A4441">
              <w:rPr>
                <w:b/>
                <w:bCs/>
              </w:rPr>
              <w:t xml:space="preserve"> </w:t>
            </w:r>
            <w:r>
              <w:rPr>
                <w:b/>
                <w:bCs/>
              </w:rPr>
              <w:t>Discipline</w:t>
            </w:r>
          </w:p>
        </w:tc>
        <w:tc>
          <w:tcPr>
            <w:tcW w:w="8810" w:type="dxa"/>
          </w:tcPr>
          <w:p w14:paraId="588CE1E8" w14:textId="4AF64BA1" w:rsidR="00364DF6" w:rsidRPr="00E52B88" w:rsidRDefault="00520A69" w:rsidP="00344493">
            <w:pPr>
              <w:spacing w:after="0" w:line="240" w:lineRule="auto"/>
              <w:jc w:val="both"/>
              <w:rPr>
                <w:bCs/>
                <w:sz w:val="20"/>
                <w:szCs w:val="20"/>
              </w:rPr>
            </w:pPr>
            <w:r w:rsidRPr="00E52B88">
              <w:rPr>
                <w:bCs/>
                <w:sz w:val="20"/>
                <w:szCs w:val="20"/>
              </w:rPr>
              <w:t>Occupational Therapy</w:t>
            </w:r>
            <w:r w:rsidR="00BD5CE0" w:rsidRPr="00E52B88">
              <w:rPr>
                <w:bCs/>
                <w:sz w:val="20"/>
                <w:szCs w:val="20"/>
              </w:rPr>
              <w:t xml:space="preserve"> (OT)</w:t>
            </w:r>
          </w:p>
        </w:tc>
      </w:tr>
      <w:tr w:rsidR="00364DF6" w14:paraId="03F3C42B" w14:textId="6DEB5516" w:rsidTr="0084373A">
        <w:trPr>
          <w:trHeight w:val="584"/>
        </w:trPr>
        <w:tc>
          <w:tcPr>
            <w:tcW w:w="2106" w:type="dxa"/>
            <w:vAlign w:val="center"/>
          </w:tcPr>
          <w:p w14:paraId="669BD97F" w14:textId="18767C0D" w:rsidR="00364DF6" w:rsidRDefault="008F35F7" w:rsidP="00493EA0">
            <w:pPr>
              <w:spacing w:after="0" w:line="240" w:lineRule="auto"/>
              <w:rPr>
                <w:b/>
                <w:bCs/>
              </w:rPr>
            </w:pPr>
            <w:r w:rsidRPr="00F158AE">
              <w:rPr>
                <w:b/>
                <w:bCs/>
              </w:rPr>
              <w:t>Sources searched</w:t>
            </w:r>
            <w:r>
              <w:rPr>
                <w:b/>
                <w:bCs/>
              </w:rPr>
              <w:t xml:space="preserve"> </w:t>
            </w:r>
            <w:r w:rsidR="0084373A">
              <w:rPr>
                <w:b/>
                <w:bCs/>
              </w:rPr>
              <w:t xml:space="preserve"> </w:t>
            </w:r>
          </w:p>
        </w:tc>
        <w:tc>
          <w:tcPr>
            <w:tcW w:w="8810" w:type="dxa"/>
          </w:tcPr>
          <w:p w14:paraId="4F36A6B6" w14:textId="03550919" w:rsidR="00364DF6" w:rsidRPr="00E52B88" w:rsidRDefault="005B6FD9" w:rsidP="00344493">
            <w:pPr>
              <w:pStyle w:val="ListParagraph"/>
              <w:numPr>
                <w:ilvl w:val="0"/>
                <w:numId w:val="1"/>
              </w:numPr>
              <w:spacing w:after="0" w:line="240" w:lineRule="auto"/>
              <w:ind w:left="205" w:hanging="205"/>
              <w:jc w:val="both"/>
              <w:rPr>
                <w:bCs/>
                <w:sz w:val="20"/>
                <w:szCs w:val="20"/>
              </w:rPr>
            </w:pPr>
            <w:r w:rsidRPr="00E52B88">
              <w:rPr>
                <w:bCs/>
                <w:sz w:val="20"/>
                <w:szCs w:val="20"/>
              </w:rPr>
              <w:t xml:space="preserve">Embase, PubMed, </w:t>
            </w:r>
            <w:proofErr w:type="spellStart"/>
            <w:r w:rsidRPr="00E52B88">
              <w:rPr>
                <w:bCs/>
                <w:sz w:val="20"/>
                <w:szCs w:val="20"/>
              </w:rPr>
              <w:t>Emcare</w:t>
            </w:r>
            <w:proofErr w:type="spellEnd"/>
            <w:r w:rsidRPr="00E52B88">
              <w:rPr>
                <w:bCs/>
                <w:sz w:val="20"/>
                <w:szCs w:val="20"/>
              </w:rPr>
              <w:t xml:space="preserve">, Cochrane, Health Collection and OT Seeker on 23 August 2020. </w:t>
            </w:r>
          </w:p>
          <w:p w14:paraId="782C1BE2" w14:textId="288C41F0" w:rsidR="00364DF6" w:rsidRPr="00E52B88" w:rsidRDefault="005B6FD9" w:rsidP="00344493">
            <w:pPr>
              <w:pStyle w:val="ListParagraph"/>
              <w:numPr>
                <w:ilvl w:val="0"/>
                <w:numId w:val="1"/>
              </w:numPr>
              <w:spacing w:after="0" w:line="240" w:lineRule="auto"/>
              <w:ind w:left="205" w:hanging="205"/>
              <w:jc w:val="both"/>
              <w:rPr>
                <w:bCs/>
                <w:sz w:val="20"/>
                <w:szCs w:val="20"/>
              </w:rPr>
            </w:pPr>
            <w:r w:rsidRPr="00E52B88">
              <w:rPr>
                <w:bCs/>
                <w:sz w:val="20"/>
                <w:szCs w:val="20"/>
              </w:rPr>
              <w:t xml:space="preserve">For non-peer reviewed literature Google Scholar and Google </w:t>
            </w:r>
            <w:r w:rsidR="0084373A" w:rsidRPr="00E52B88">
              <w:rPr>
                <w:bCs/>
                <w:sz w:val="20"/>
                <w:szCs w:val="20"/>
              </w:rPr>
              <w:t xml:space="preserve">searched </w:t>
            </w:r>
            <w:r w:rsidRPr="00E52B88">
              <w:rPr>
                <w:bCs/>
                <w:sz w:val="20"/>
                <w:szCs w:val="20"/>
              </w:rPr>
              <w:t xml:space="preserve">on 1 September 2020. </w:t>
            </w:r>
          </w:p>
        </w:tc>
      </w:tr>
      <w:tr w:rsidR="008F35F7" w14:paraId="1B011B53" w14:textId="734A5999" w:rsidTr="00493EA0">
        <w:trPr>
          <w:trHeight w:val="243"/>
        </w:trPr>
        <w:tc>
          <w:tcPr>
            <w:tcW w:w="2106" w:type="dxa"/>
            <w:vMerge w:val="restart"/>
            <w:vAlign w:val="center"/>
          </w:tcPr>
          <w:p w14:paraId="2005D675" w14:textId="758A6EB3" w:rsidR="008F35F7" w:rsidRDefault="008F35F7" w:rsidP="00493EA0">
            <w:pPr>
              <w:spacing w:after="0" w:line="240" w:lineRule="auto"/>
              <w:rPr>
                <w:b/>
                <w:bCs/>
              </w:rPr>
            </w:pPr>
            <w:r w:rsidRPr="00F158AE">
              <w:rPr>
                <w:b/>
                <w:bCs/>
              </w:rPr>
              <w:t xml:space="preserve">Quality appraisal of the </w:t>
            </w:r>
            <w:r>
              <w:rPr>
                <w:b/>
                <w:bCs/>
              </w:rPr>
              <w:t>body of E</w:t>
            </w:r>
            <w:r w:rsidRPr="00F158AE">
              <w:rPr>
                <w:b/>
                <w:bCs/>
              </w:rPr>
              <w:t>vidence</w:t>
            </w:r>
          </w:p>
        </w:tc>
        <w:tc>
          <w:tcPr>
            <w:tcW w:w="8810" w:type="dxa"/>
          </w:tcPr>
          <w:p w14:paraId="065C2A96" w14:textId="4C110307" w:rsidR="00A04773" w:rsidRPr="00E52B88" w:rsidRDefault="00BD5CE0" w:rsidP="00344493">
            <w:pPr>
              <w:spacing w:after="0" w:line="240" w:lineRule="auto"/>
              <w:ind w:left="34"/>
              <w:jc w:val="both"/>
              <w:rPr>
                <w:bCs/>
                <w:sz w:val="20"/>
                <w:szCs w:val="20"/>
              </w:rPr>
            </w:pPr>
            <w:r w:rsidRPr="00E52B88">
              <w:rPr>
                <w:b/>
                <w:bCs/>
                <w:sz w:val="20"/>
                <w:szCs w:val="20"/>
              </w:rPr>
              <w:t xml:space="preserve">Strength of Evidence: </w:t>
            </w:r>
            <w:r w:rsidR="00A04773" w:rsidRPr="00E52B88">
              <w:rPr>
                <w:bCs/>
                <w:sz w:val="20"/>
                <w:szCs w:val="20"/>
              </w:rPr>
              <w:t xml:space="preserve">Evidence was all low level (cross sectional studies and </w:t>
            </w:r>
            <w:r w:rsidR="00477468" w:rsidRPr="00E52B88">
              <w:rPr>
                <w:bCs/>
                <w:sz w:val="20"/>
                <w:szCs w:val="20"/>
              </w:rPr>
              <w:t>non-</w:t>
            </w:r>
            <w:r w:rsidR="00A04773" w:rsidRPr="00E52B88">
              <w:rPr>
                <w:bCs/>
                <w:sz w:val="20"/>
                <w:szCs w:val="20"/>
              </w:rPr>
              <w:t>peer</w:t>
            </w:r>
            <w:r w:rsidR="00477468" w:rsidRPr="00E52B88">
              <w:rPr>
                <w:bCs/>
                <w:sz w:val="20"/>
                <w:szCs w:val="20"/>
              </w:rPr>
              <w:t xml:space="preserve"> reviewed sources)</w:t>
            </w:r>
          </w:p>
        </w:tc>
      </w:tr>
      <w:tr w:rsidR="008F35F7" w14:paraId="03E110DB" w14:textId="77777777" w:rsidTr="00493EA0">
        <w:trPr>
          <w:trHeight w:val="195"/>
        </w:trPr>
        <w:tc>
          <w:tcPr>
            <w:tcW w:w="2106" w:type="dxa"/>
            <w:vMerge/>
            <w:vAlign w:val="center"/>
          </w:tcPr>
          <w:p w14:paraId="616A35D2" w14:textId="3BBE2C74" w:rsidR="008F35F7" w:rsidRPr="00F158AE" w:rsidRDefault="008F35F7" w:rsidP="00493EA0">
            <w:pPr>
              <w:spacing w:after="0" w:line="240" w:lineRule="auto"/>
              <w:rPr>
                <w:b/>
                <w:bCs/>
              </w:rPr>
            </w:pPr>
          </w:p>
        </w:tc>
        <w:tc>
          <w:tcPr>
            <w:tcW w:w="8810" w:type="dxa"/>
          </w:tcPr>
          <w:p w14:paraId="5B56589C" w14:textId="4C18A686" w:rsidR="007801DE" w:rsidRPr="00E52B88" w:rsidRDefault="008F35F7" w:rsidP="00344493">
            <w:pPr>
              <w:spacing w:after="0" w:line="240" w:lineRule="auto"/>
              <w:ind w:left="34"/>
              <w:jc w:val="both"/>
              <w:rPr>
                <w:bCs/>
                <w:sz w:val="20"/>
                <w:szCs w:val="20"/>
              </w:rPr>
            </w:pPr>
            <w:r w:rsidRPr="00E52B88">
              <w:rPr>
                <w:b/>
                <w:bCs/>
                <w:sz w:val="20"/>
                <w:szCs w:val="20"/>
              </w:rPr>
              <w:t>Quality of Evidence</w:t>
            </w:r>
            <w:r w:rsidR="00BD5CE0" w:rsidRPr="00E52B88">
              <w:rPr>
                <w:b/>
                <w:bCs/>
                <w:sz w:val="20"/>
                <w:szCs w:val="20"/>
              </w:rPr>
              <w:t xml:space="preserve">: </w:t>
            </w:r>
            <w:r w:rsidR="00DB2CE8" w:rsidRPr="00E52B88">
              <w:rPr>
                <w:bCs/>
                <w:sz w:val="20"/>
                <w:szCs w:val="20"/>
              </w:rPr>
              <w:t>Consistent message across studies that types of mature grasp does not affect han</w:t>
            </w:r>
            <w:r w:rsidR="00BD5CE0" w:rsidRPr="00E52B88">
              <w:rPr>
                <w:bCs/>
                <w:sz w:val="20"/>
                <w:szCs w:val="20"/>
              </w:rPr>
              <w:t>dwriting performance. However, s</w:t>
            </w:r>
            <w:r w:rsidR="00DB2CE8" w:rsidRPr="00E52B88">
              <w:rPr>
                <w:bCs/>
                <w:sz w:val="20"/>
                <w:szCs w:val="20"/>
              </w:rPr>
              <w:t xml:space="preserve">amples for several studies were </w:t>
            </w:r>
            <w:r w:rsidR="00BD5CE0" w:rsidRPr="00E52B88">
              <w:rPr>
                <w:bCs/>
                <w:sz w:val="20"/>
                <w:szCs w:val="20"/>
              </w:rPr>
              <w:t>based on:</w:t>
            </w:r>
          </w:p>
          <w:p w14:paraId="050E0F1D" w14:textId="19A263A5" w:rsidR="00DB2CE8" w:rsidRPr="00E52B88" w:rsidRDefault="007801DE" w:rsidP="00344493">
            <w:pPr>
              <w:pStyle w:val="ListParagraph"/>
              <w:numPr>
                <w:ilvl w:val="1"/>
                <w:numId w:val="2"/>
              </w:numPr>
              <w:spacing w:after="0" w:line="240" w:lineRule="auto"/>
              <w:ind w:left="480"/>
              <w:jc w:val="both"/>
              <w:rPr>
                <w:bCs/>
                <w:sz w:val="20"/>
                <w:szCs w:val="20"/>
              </w:rPr>
            </w:pPr>
            <w:r w:rsidRPr="00E52B88">
              <w:rPr>
                <w:bCs/>
                <w:sz w:val="20"/>
                <w:szCs w:val="20"/>
              </w:rPr>
              <w:t>C</w:t>
            </w:r>
            <w:r w:rsidR="00DB2CE8" w:rsidRPr="00E52B88">
              <w:rPr>
                <w:bCs/>
                <w:sz w:val="20"/>
                <w:szCs w:val="20"/>
              </w:rPr>
              <w:t>onvenience samples, not representa</w:t>
            </w:r>
            <w:r w:rsidRPr="00E52B88">
              <w:rPr>
                <w:bCs/>
                <w:sz w:val="20"/>
                <w:szCs w:val="20"/>
              </w:rPr>
              <w:t xml:space="preserve">tive of the broader population, and </w:t>
            </w:r>
          </w:p>
          <w:p w14:paraId="7405958C" w14:textId="77777777" w:rsidR="00B4464E" w:rsidRPr="00E52B88" w:rsidRDefault="00BD5CE0" w:rsidP="00344493">
            <w:pPr>
              <w:pStyle w:val="ListParagraph"/>
              <w:numPr>
                <w:ilvl w:val="1"/>
                <w:numId w:val="2"/>
              </w:numPr>
              <w:spacing w:after="0" w:line="240" w:lineRule="auto"/>
              <w:ind w:left="480"/>
              <w:jc w:val="both"/>
              <w:rPr>
                <w:bCs/>
                <w:sz w:val="20"/>
                <w:szCs w:val="20"/>
              </w:rPr>
            </w:pPr>
            <w:r w:rsidRPr="00E52B88">
              <w:rPr>
                <w:bCs/>
                <w:sz w:val="20"/>
                <w:szCs w:val="20"/>
              </w:rPr>
              <w:t xml:space="preserve">Other </w:t>
            </w:r>
            <w:r w:rsidR="00B4464E" w:rsidRPr="00E52B88">
              <w:rPr>
                <w:bCs/>
                <w:sz w:val="20"/>
                <w:szCs w:val="20"/>
              </w:rPr>
              <w:t xml:space="preserve">countries where teaching, </w:t>
            </w:r>
            <w:r w:rsidRPr="00E52B88">
              <w:rPr>
                <w:bCs/>
                <w:sz w:val="20"/>
                <w:szCs w:val="20"/>
              </w:rPr>
              <w:t xml:space="preserve">script </w:t>
            </w:r>
            <w:r w:rsidR="00B4464E" w:rsidRPr="00E52B88">
              <w:rPr>
                <w:bCs/>
                <w:sz w:val="20"/>
                <w:szCs w:val="20"/>
              </w:rPr>
              <w:t xml:space="preserve">and language </w:t>
            </w:r>
            <w:r w:rsidRPr="00E52B88">
              <w:rPr>
                <w:bCs/>
                <w:sz w:val="20"/>
                <w:szCs w:val="20"/>
              </w:rPr>
              <w:t>may not reflect our local population.</w:t>
            </w:r>
          </w:p>
          <w:p w14:paraId="429FB49F" w14:textId="054E06FA" w:rsidR="009277B7" w:rsidRPr="00E52B88" w:rsidRDefault="009277B7" w:rsidP="00344493">
            <w:pPr>
              <w:spacing w:after="0" w:line="240" w:lineRule="auto"/>
              <w:jc w:val="both"/>
              <w:rPr>
                <w:bCs/>
                <w:sz w:val="20"/>
                <w:szCs w:val="20"/>
              </w:rPr>
            </w:pPr>
            <w:r w:rsidRPr="00E52B88">
              <w:rPr>
                <w:bCs/>
                <w:sz w:val="20"/>
                <w:szCs w:val="20"/>
              </w:rPr>
              <w:t>There was n</w:t>
            </w:r>
            <w:r w:rsidR="00974F57" w:rsidRPr="00E52B88">
              <w:rPr>
                <w:bCs/>
                <w:sz w:val="20"/>
                <w:szCs w:val="20"/>
              </w:rPr>
              <w:t xml:space="preserve">o participant/assessor blinding in any of the studies found. Of the peer reviewed studies, one cited clear </w:t>
            </w:r>
            <w:proofErr w:type="gramStart"/>
            <w:r w:rsidR="00974F57" w:rsidRPr="00E52B88">
              <w:rPr>
                <w:bCs/>
                <w:sz w:val="20"/>
                <w:szCs w:val="20"/>
              </w:rPr>
              <w:t>issues</w:t>
            </w:r>
            <w:proofErr w:type="gramEnd"/>
            <w:r w:rsidR="00974F57" w:rsidRPr="00E52B88">
              <w:rPr>
                <w:bCs/>
                <w:sz w:val="20"/>
                <w:szCs w:val="20"/>
              </w:rPr>
              <w:t xml:space="preserve"> with their methodology for handwriting assessment and one provided very limited detail on how they determined grasp had little effect on handwriting. </w:t>
            </w:r>
            <w:proofErr w:type="gramStart"/>
            <w:r w:rsidR="00974F57" w:rsidRPr="00E52B88">
              <w:rPr>
                <w:bCs/>
                <w:sz w:val="20"/>
                <w:szCs w:val="20"/>
              </w:rPr>
              <w:t>Overall</w:t>
            </w:r>
            <w:proofErr w:type="gramEnd"/>
            <w:r w:rsidR="00974F57" w:rsidRPr="00E52B88">
              <w:rPr>
                <w:bCs/>
                <w:sz w:val="20"/>
                <w:szCs w:val="20"/>
              </w:rPr>
              <w:t xml:space="preserve"> the quality of evidence was weak. </w:t>
            </w:r>
          </w:p>
        </w:tc>
      </w:tr>
      <w:tr w:rsidR="008F35F7" w14:paraId="426593DE" w14:textId="77777777" w:rsidTr="00F65049">
        <w:trPr>
          <w:trHeight w:val="240"/>
        </w:trPr>
        <w:tc>
          <w:tcPr>
            <w:tcW w:w="2106" w:type="dxa"/>
            <w:vMerge/>
            <w:vAlign w:val="center"/>
          </w:tcPr>
          <w:p w14:paraId="7DD88186" w14:textId="6527601C" w:rsidR="008F35F7" w:rsidRPr="00F158AE" w:rsidRDefault="008F35F7" w:rsidP="00493EA0">
            <w:pPr>
              <w:spacing w:after="0" w:line="240" w:lineRule="auto"/>
              <w:rPr>
                <w:b/>
                <w:bCs/>
              </w:rPr>
            </w:pPr>
          </w:p>
        </w:tc>
        <w:tc>
          <w:tcPr>
            <w:tcW w:w="8810" w:type="dxa"/>
            <w:shd w:val="clear" w:color="auto" w:fill="auto"/>
          </w:tcPr>
          <w:p w14:paraId="75EDE48B" w14:textId="67211B79" w:rsidR="00A04773" w:rsidRPr="00E52B88" w:rsidRDefault="00493EA0" w:rsidP="00344493">
            <w:pPr>
              <w:spacing w:after="0" w:line="240" w:lineRule="auto"/>
              <w:ind w:left="34"/>
              <w:jc w:val="both"/>
              <w:rPr>
                <w:bCs/>
                <w:sz w:val="20"/>
                <w:szCs w:val="20"/>
              </w:rPr>
            </w:pPr>
            <w:r w:rsidRPr="00E52B88">
              <w:rPr>
                <w:b/>
                <w:bCs/>
                <w:sz w:val="20"/>
                <w:szCs w:val="20"/>
              </w:rPr>
              <w:t>S</w:t>
            </w:r>
            <w:r w:rsidR="008F35F7" w:rsidRPr="00E52B88">
              <w:rPr>
                <w:b/>
                <w:bCs/>
                <w:sz w:val="20"/>
                <w:szCs w:val="20"/>
              </w:rPr>
              <w:t>tatistical significance</w:t>
            </w:r>
            <w:r w:rsidR="00BD5CE0" w:rsidRPr="00E52B88">
              <w:rPr>
                <w:b/>
                <w:bCs/>
                <w:sz w:val="20"/>
                <w:szCs w:val="20"/>
              </w:rPr>
              <w:t xml:space="preserve">: </w:t>
            </w:r>
            <w:r w:rsidR="00974F57" w:rsidRPr="00E52B88">
              <w:rPr>
                <w:bCs/>
                <w:sz w:val="20"/>
                <w:szCs w:val="20"/>
              </w:rPr>
              <w:t>Four</w:t>
            </w:r>
            <w:r w:rsidR="008A319A" w:rsidRPr="00E52B88">
              <w:rPr>
                <w:bCs/>
                <w:sz w:val="20"/>
                <w:szCs w:val="20"/>
              </w:rPr>
              <w:t xml:space="preserve"> peer reviewed studies found there was no statistically significant difference in handwriting for children using different grasps</w:t>
            </w:r>
            <w:r w:rsidR="00F65049" w:rsidRPr="00E52B88">
              <w:rPr>
                <w:bCs/>
                <w:sz w:val="20"/>
                <w:szCs w:val="20"/>
              </w:rPr>
              <w:t>.</w:t>
            </w:r>
            <w:r w:rsidR="008A319A" w:rsidRPr="00E52B88">
              <w:rPr>
                <w:bCs/>
                <w:sz w:val="20"/>
                <w:szCs w:val="20"/>
              </w:rPr>
              <w:t xml:space="preserve"> </w:t>
            </w:r>
          </w:p>
        </w:tc>
      </w:tr>
      <w:tr w:rsidR="008F35F7" w14:paraId="1E625A31" w14:textId="77777777" w:rsidTr="00493EA0">
        <w:trPr>
          <w:trHeight w:val="240"/>
        </w:trPr>
        <w:tc>
          <w:tcPr>
            <w:tcW w:w="2106" w:type="dxa"/>
            <w:vMerge/>
            <w:vAlign w:val="center"/>
          </w:tcPr>
          <w:p w14:paraId="21C0BBC8" w14:textId="77777777" w:rsidR="008F35F7" w:rsidRPr="00F158AE" w:rsidRDefault="008F35F7" w:rsidP="00493EA0">
            <w:pPr>
              <w:spacing w:after="0" w:line="240" w:lineRule="auto"/>
              <w:rPr>
                <w:b/>
                <w:bCs/>
              </w:rPr>
            </w:pPr>
          </w:p>
        </w:tc>
        <w:tc>
          <w:tcPr>
            <w:tcW w:w="8810" w:type="dxa"/>
          </w:tcPr>
          <w:p w14:paraId="79F09A74" w14:textId="3A3E381E" w:rsidR="00335C85" w:rsidRPr="00E52B88" w:rsidRDefault="008F35F7" w:rsidP="00344493">
            <w:pPr>
              <w:spacing w:after="0" w:line="240" w:lineRule="auto"/>
              <w:ind w:left="34"/>
              <w:jc w:val="both"/>
              <w:rPr>
                <w:bCs/>
                <w:sz w:val="20"/>
                <w:szCs w:val="20"/>
              </w:rPr>
            </w:pPr>
            <w:r w:rsidRPr="00E52B88">
              <w:rPr>
                <w:b/>
                <w:bCs/>
                <w:sz w:val="20"/>
                <w:szCs w:val="20"/>
              </w:rPr>
              <w:t>Clinical significance</w:t>
            </w:r>
            <w:r w:rsidR="00BD5CE0" w:rsidRPr="00E52B88">
              <w:rPr>
                <w:b/>
                <w:bCs/>
                <w:sz w:val="20"/>
                <w:szCs w:val="20"/>
              </w:rPr>
              <w:t xml:space="preserve">: </w:t>
            </w:r>
            <w:r w:rsidR="00BD5CE0" w:rsidRPr="00E52B88">
              <w:rPr>
                <w:bCs/>
                <w:sz w:val="20"/>
                <w:szCs w:val="20"/>
              </w:rPr>
              <w:t>The</w:t>
            </w:r>
            <w:r w:rsidR="00BD5CE0" w:rsidRPr="00E52B88">
              <w:rPr>
                <w:b/>
                <w:bCs/>
                <w:sz w:val="20"/>
                <w:szCs w:val="20"/>
              </w:rPr>
              <w:t xml:space="preserve"> </w:t>
            </w:r>
            <w:r w:rsidR="00BD5CE0" w:rsidRPr="00E52B88">
              <w:rPr>
                <w:bCs/>
                <w:sz w:val="20"/>
                <w:szCs w:val="20"/>
              </w:rPr>
              <w:t>i</w:t>
            </w:r>
            <w:r w:rsidR="00A04773" w:rsidRPr="00E52B88">
              <w:rPr>
                <w:bCs/>
                <w:sz w:val="20"/>
                <w:szCs w:val="20"/>
              </w:rPr>
              <w:t xml:space="preserve">mpact would differ depending </w:t>
            </w:r>
            <w:r w:rsidR="00561AE2" w:rsidRPr="00E52B88">
              <w:rPr>
                <w:bCs/>
                <w:sz w:val="20"/>
                <w:szCs w:val="20"/>
              </w:rPr>
              <w:t xml:space="preserve">on </w:t>
            </w:r>
            <w:r w:rsidR="006228E0" w:rsidRPr="00E52B88">
              <w:rPr>
                <w:bCs/>
                <w:sz w:val="20"/>
                <w:szCs w:val="20"/>
              </w:rPr>
              <w:t xml:space="preserve">the distribution of grasps used at </w:t>
            </w:r>
            <w:r w:rsidR="00561AE2" w:rsidRPr="00E52B88">
              <w:rPr>
                <w:bCs/>
                <w:sz w:val="20"/>
                <w:szCs w:val="20"/>
              </w:rPr>
              <w:t>specific schools and OT practices</w:t>
            </w:r>
            <w:r w:rsidR="00433AC3" w:rsidRPr="00E52B88">
              <w:rPr>
                <w:bCs/>
                <w:sz w:val="20"/>
                <w:szCs w:val="20"/>
              </w:rPr>
              <w:t xml:space="preserve"> and their use of interventions to adjust grasp</w:t>
            </w:r>
            <w:r w:rsidR="00561AE2" w:rsidRPr="00E52B88">
              <w:rPr>
                <w:bCs/>
                <w:sz w:val="20"/>
                <w:szCs w:val="20"/>
              </w:rPr>
              <w:t xml:space="preserve">. </w:t>
            </w:r>
            <w:r w:rsidR="00433AC3" w:rsidRPr="00E52B88">
              <w:rPr>
                <w:bCs/>
                <w:sz w:val="20"/>
                <w:szCs w:val="20"/>
              </w:rPr>
              <w:t>Atypical grasps were used by 60-77% of children (</w:t>
            </w:r>
            <w:proofErr w:type="spellStart"/>
            <w:r w:rsidR="00433AC3" w:rsidRPr="00E52B88">
              <w:rPr>
                <w:bCs/>
                <w:sz w:val="20"/>
                <w:szCs w:val="20"/>
              </w:rPr>
              <w:t>Schwellnus</w:t>
            </w:r>
            <w:proofErr w:type="spellEnd"/>
            <w:r w:rsidR="00433AC3" w:rsidRPr="00E52B88">
              <w:rPr>
                <w:bCs/>
                <w:sz w:val="20"/>
                <w:szCs w:val="20"/>
              </w:rPr>
              <w:t xml:space="preserve"> et al. 2012; </w:t>
            </w:r>
            <w:proofErr w:type="spellStart"/>
            <w:r w:rsidR="00433AC3" w:rsidRPr="00E52B88">
              <w:rPr>
                <w:bCs/>
                <w:sz w:val="20"/>
                <w:szCs w:val="20"/>
              </w:rPr>
              <w:t>Koziatek</w:t>
            </w:r>
            <w:proofErr w:type="spellEnd"/>
            <w:r w:rsidR="00433AC3" w:rsidRPr="00E52B88">
              <w:rPr>
                <w:bCs/>
                <w:sz w:val="20"/>
                <w:szCs w:val="20"/>
              </w:rPr>
              <w:t xml:space="preserve"> &amp; Powell 2003). </w:t>
            </w:r>
          </w:p>
        </w:tc>
      </w:tr>
      <w:tr w:rsidR="008F35F7" w14:paraId="09170025" w14:textId="77777777" w:rsidTr="00493EA0">
        <w:trPr>
          <w:trHeight w:val="450"/>
        </w:trPr>
        <w:tc>
          <w:tcPr>
            <w:tcW w:w="2106" w:type="dxa"/>
            <w:vMerge/>
            <w:vAlign w:val="center"/>
          </w:tcPr>
          <w:p w14:paraId="2ED93B2E" w14:textId="77777777" w:rsidR="008F35F7" w:rsidRPr="00F158AE" w:rsidRDefault="008F35F7" w:rsidP="00493EA0">
            <w:pPr>
              <w:spacing w:after="0" w:line="240" w:lineRule="auto"/>
              <w:rPr>
                <w:b/>
                <w:bCs/>
              </w:rPr>
            </w:pPr>
          </w:p>
        </w:tc>
        <w:tc>
          <w:tcPr>
            <w:tcW w:w="8810" w:type="dxa"/>
          </w:tcPr>
          <w:p w14:paraId="5EC00F47" w14:textId="2340DAE3" w:rsidR="00335C85" w:rsidRPr="00E52B88" w:rsidRDefault="008F35F7" w:rsidP="00344493">
            <w:pPr>
              <w:spacing w:after="0" w:line="240" w:lineRule="auto"/>
              <w:ind w:left="34"/>
              <w:jc w:val="both"/>
              <w:rPr>
                <w:bCs/>
                <w:sz w:val="20"/>
                <w:szCs w:val="20"/>
              </w:rPr>
            </w:pPr>
            <w:r w:rsidRPr="00E52B88">
              <w:rPr>
                <w:b/>
                <w:bCs/>
                <w:sz w:val="20"/>
                <w:szCs w:val="20"/>
              </w:rPr>
              <w:t>External Validity/Applicability</w:t>
            </w:r>
            <w:r w:rsidR="00BD5CE0" w:rsidRPr="00E52B88">
              <w:rPr>
                <w:b/>
                <w:bCs/>
                <w:sz w:val="20"/>
                <w:szCs w:val="20"/>
              </w:rPr>
              <w:t xml:space="preserve">:  </w:t>
            </w:r>
            <w:r w:rsidR="006228E0" w:rsidRPr="00E52B88">
              <w:rPr>
                <w:bCs/>
                <w:sz w:val="20"/>
                <w:szCs w:val="20"/>
              </w:rPr>
              <w:t>Teachers (Graham et al. 2008) and occupational therapists (</w:t>
            </w:r>
            <w:proofErr w:type="spellStart"/>
            <w:r w:rsidR="006228E0" w:rsidRPr="00E52B88">
              <w:rPr>
                <w:bCs/>
                <w:sz w:val="20"/>
                <w:szCs w:val="20"/>
              </w:rPr>
              <w:t>Ziviani</w:t>
            </w:r>
            <w:proofErr w:type="spellEnd"/>
            <w:r w:rsidR="006228E0" w:rsidRPr="00E52B88">
              <w:rPr>
                <w:bCs/>
                <w:sz w:val="20"/>
                <w:szCs w:val="20"/>
              </w:rPr>
              <w:t xml:space="preserve"> &amp; Elkins 2006) predominantly consider dynamic tripod grasp to be the “correct” grasp.  </w:t>
            </w:r>
            <w:r w:rsidR="00335C85" w:rsidRPr="00E52B88">
              <w:rPr>
                <w:bCs/>
                <w:sz w:val="20"/>
                <w:szCs w:val="20"/>
              </w:rPr>
              <w:t xml:space="preserve">Recognition of multiple functional grasps could represent a significant change in the focus of interventions for children with handwriting difficulties and </w:t>
            </w:r>
            <w:r w:rsidR="000208A9" w:rsidRPr="00E52B88">
              <w:rPr>
                <w:bCs/>
                <w:sz w:val="20"/>
                <w:szCs w:val="20"/>
              </w:rPr>
              <w:t xml:space="preserve">affect </w:t>
            </w:r>
            <w:r w:rsidR="00335C85" w:rsidRPr="00E52B88">
              <w:rPr>
                <w:bCs/>
                <w:sz w:val="20"/>
                <w:szCs w:val="20"/>
              </w:rPr>
              <w:t>confidence and performance.</w:t>
            </w:r>
          </w:p>
        </w:tc>
      </w:tr>
      <w:tr w:rsidR="00364DF6" w14:paraId="1F48ECE7" w14:textId="1668FA4F" w:rsidTr="009A796E">
        <w:trPr>
          <w:trHeight w:val="872"/>
        </w:trPr>
        <w:tc>
          <w:tcPr>
            <w:tcW w:w="2106" w:type="dxa"/>
            <w:vAlign w:val="center"/>
          </w:tcPr>
          <w:p w14:paraId="7E2CFF3E" w14:textId="5B8A0F72" w:rsidR="00364DF6" w:rsidRDefault="008F35F7" w:rsidP="00493EA0">
            <w:pPr>
              <w:spacing w:after="0" w:line="240" w:lineRule="auto"/>
              <w:rPr>
                <w:b/>
                <w:bCs/>
              </w:rPr>
            </w:pPr>
            <w:r w:rsidRPr="00F158AE">
              <w:rPr>
                <w:b/>
                <w:bCs/>
              </w:rPr>
              <w:t xml:space="preserve">Summary of </w:t>
            </w:r>
            <w:r w:rsidR="00493EA0">
              <w:rPr>
                <w:b/>
                <w:bCs/>
              </w:rPr>
              <w:t>E</w:t>
            </w:r>
            <w:r w:rsidRPr="00F158AE">
              <w:rPr>
                <w:b/>
                <w:bCs/>
              </w:rPr>
              <w:t>vidence findings</w:t>
            </w:r>
          </w:p>
        </w:tc>
        <w:tc>
          <w:tcPr>
            <w:tcW w:w="8810" w:type="dxa"/>
          </w:tcPr>
          <w:p w14:paraId="54576BFC" w14:textId="76EF6F8B" w:rsidR="00433AC3" w:rsidRPr="00E52B88" w:rsidRDefault="009A796E" w:rsidP="00344493">
            <w:pPr>
              <w:spacing w:after="0" w:line="240" w:lineRule="auto"/>
              <w:jc w:val="both"/>
              <w:rPr>
                <w:bCs/>
                <w:sz w:val="20"/>
                <w:szCs w:val="20"/>
              </w:rPr>
            </w:pPr>
            <w:r w:rsidRPr="00E52B88">
              <w:rPr>
                <w:bCs/>
                <w:sz w:val="20"/>
                <w:szCs w:val="20"/>
              </w:rPr>
              <w:t>Five peer reviewed studies found in this review found that differences in a child’s pencil grasp had no statistically significant effect on handwriting legibility and/or speed</w:t>
            </w:r>
            <w:r w:rsidR="00D02DCC" w:rsidRPr="00E52B88">
              <w:rPr>
                <w:bCs/>
                <w:sz w:val="20"/>
                <w:szCs w:val="20"/>
              </w:rPr>
              <w:t xml:space="preserve"> (</w:t>
            </w:r>
            <w:proofErr w:type="spellStart"/>
            <w:r w:rsidRPr="00E52B88">
              <w:rPr>
                <w:bCs/>
                <w:sz w:val="20"/>
                <w:szCs w:val="20"/>
              </w:rPr>
              <w:t>Schwellnus</w:t>
            </w:r>
            <w:proofErr w:type="spellEnd"/>
            <w:r w:rsidRPr="00E52B88">
              <w:rPr>
                <w:bCs/>
                <w:sz w:val="20"/>
                <w:szCs w:val="20"/>
              </w:rPr>
              <w:t xml:space="preserve"> et al. 2012</w:t>
            </w:r>
            <w:r w:rsidR="00D02DCC" w:rsidRPr="00E52B88">
              <w:rPr>
                <w:bCs/>
                <w:sz w:val="20"/>
                <w:szCs w:val="20"/>
              </w:rPr>
              <w:t>;</w:t>
            </w:r>
            <w:r w:rsidRPr="00E52B88">
              <w:rPr>
                <w:bCs/>
                <w:sz w:val="20"/>
                <w:szCs w:val="20"/>
              </w:rPr>
              <w:t xml:space="preserve"> </w:t>
            </w:r>
            <w:proofErr w:type="spellStart"/>
            <w:r w:rsidRPr="00E52B88">
              <w:rPr>
                <w:bCs/>
                <w:sz w:val="20"/>
                <w:szCs w:val="20"/>
              </w:rPr>
              <w:t>Ziviani</w:t>
            </w:r>
            <w:proofErr w:type="spellEnd"/>
            <w:r w:rsidRPr="00E52B88">
              <w:rPr>
                <w:bCs/>
                <w:sz w:val="20"/>
                <w:szCs w:val="20"/>
              </w:rPr>
              <w:t xml:space="preserve"> &amp; Elkins 2006</w:t>
            </w:r>
            <w:r w:rsidR="00D02DCC" w:rsidRPr="00E52B88">
              <w:rPr>
                <w:bCs/>
                <w:sz w:val="20"/>
                <w:szCs w:val="20"/>
              </w:rPr>
              <w:t>;</w:t>
            </w:r>
            <w:r w:rsidRPr="00E52B88">
              <w:rPr>
                <w:bCs/>
                <w:sz w:val="20"/>
                <w:szCs w:val="20"/>
              </w:rPr>
              <w:t xml:space="preserve"> </w:t>
            </w:r>
            <w:proofErr w:type="spellStart"/>
            <w:r w:rsidRPr="00E52B88">
              <w:rPr>
                <w:bCs/>
                <w:sz w:val="20"/>
                <w:szCs w:val="20"/>
              </w:rPr>
              <w:t>Koziatek</w:t>
            </w:r>
            <w:proofErr w:type="spellEnd"/>
            <w:r w:rsidRPr="00E52B88">
              <w:rPr>
                <w:bCs/>
                <w:sz w:val="20"/>
                <w:szCs w:val="20"/>
              </w:rPr>
              <w:t xml:space="preserve"> &amp; Powell 2003</w:t>
            </w:r>
            <w:r w:rsidR="00D02DCC" w:rsidRPr="00E52B88">
              <w:rPr>
                <w:bCs/>
                <w:sz w:val="20"/>
                <w:szCs w:val="20"/>
              </w:rPr>
              <w:t>;</w:t>
            </w:r>
            <w:r w:rsidRPr="00E52B88">
              <w:rPr>
                <w:bCs/>
                <w:sz w:val="20"/>
                <w:szCs w:val="20"/>
              </w:rPr>
              <w:t xml:space="preserve"> Dennis &amp; </w:t>
            </w:r>
            <w:proofErr w:type="spellStart"/>
            <w:r w:rsidRPr="00E52B88">
              <w:rPr>
                <w:bCs/>
                <w:sz w:val="20"/>
                <w:szCs w:val="20"/>
              </w:rPr>
              <w:t>Swinth</w:t>
            </w:r>
            <w:proofErr w:type="spellEnd"/>
            <w:r w:rsidRPr="00E52B88">
              <w:rPr>
                <w:bCs/>
                <w:sz w:val="20"/>
                <w:szCs w:val="20"/>
              </w:rPr>
              <w:t xml:space="preserve"> 2001</w:t>
            </w:r>
            <w:r w:rsidR="00D02DCC" w:rsidRPr="00E52B88">
              <w:rPr>
                <w:bCs/>
                <w:sz w:val="20"/>
                <w:szCs w:val="20"/>
              </w:rPr>
              <w:t>;</w:t>
            </w:r>
            <w:r w:rsidRPr="00E52B88">
              <w:rPr>
                <w:bCs/>
                <w:sz w:val="20"/>
                <w:szCs w:val="20"/>
              </w:rPr>
              <w:t xml:space="preserve"> Chang &amp; Yu 2005</w:t>
            </w:r>
            <w:r w:rsidR="00D02DCC" w:rsidRPr="00E52B88">
              <w:rPr>
                <w:bCs/>
                <w:sz w:val="20"/>
                <w:szCs w:val="20"/>
              </w:rPr>
              <w:t>)</w:t>
            </w:r>
            <w:r w:rsidRPr="00E52B88">
              <w:rPr>
                <w:bCs/>
                <w:sz w:val="20"/>
                <w:szCs w:val="20"/>
              </w:rPr>
              <w:t xml:space="preserve">. </w:t>
            </w:r>
          </w:p>
        </w:tc>
      </w:tr>
      <w:tr w:rsidR="00364DF6" w14:paraId="49E33569" w14:textId="59CC7BEC" w:rsidTr="008A4441">
        <w:trPr>
          <w:trHeight w:val="902"/>
        </w:trPr>
        <w:tc>
          <w:tcPr>
            <w:tcW w:w="2106" w:type="dxa"/>
            <w:vAlign w:val="center"/>
          </w:tcPr>
          <w:p w14:paraId="6423BBA9" w14:textId="5A7F7821" w:rsidR="00364DF6" w:rsidRDefault="008F35F7" w:rsidP="00493EA0">
            <w:pPr>
              <w:spacing w:after="0" w:line="240" w:lineRule="auto"/>
              <w:rPr>
                <w:b/>
                <w:bCs/>
              </w:rPr>
            </w:pPr>
            <w:r w:rsidRPr="00F158AE">
              <w:rPr>
                <w:b/>
                <w:bCs/>
              </w:rPr>
              <w:t>Conclusions</w:t>
            </w:r>
          </w:p>
        </w:tc>
        <w:tc>
          <w:tcPr>
            <w:tcW w:w="8810" w:type="dxa"/>
          </w:tcPr>
          <w:p w14:paraId="14BAF94F" w14:textId="55727A21" w:rsidR="002B2036" w:rsidRPr="00E52B88" w:rsidRDefault="009A796E" w:rsidP="00344493">
            <w:pPr>
              <w:spacing w:after="0" w:line="240" w:lineRule="auto"/>
              <w:jc w:val="both"/>
              <w:rPr>
                <w:bCs/>
                <w:sz w:val="20"/>
                <w:szCs w:val="20"/>
              </w:rPr>
            </w:pPr>
            <w:r w:rsidRPr="00E52B88">
              <w:rPr>
                <w:bCs/>
                <w:sz w:val="20"/>
                <w:szCs w:val="20"/>
              </w:rPr>
              <w:t>D</w:t>
            </w:r>
            <w:r w:rsidR="002B2036" w:rsidRPr="00E52B88">
              <w:rPr>
                <w:bCs/>
                <w:sz w:val="20"/>
                <w:szCs w:val="20"/>
              </w:rPr>
              <w:t xml:space="preserve">ifferences in </w:t>
            </w:r>
            <w:proofErr w:type="gramStart"/>
            <w:r w:rsidR="002B2036" w:rsidRPr="00E52B88">
              <w:rPr>
                <w:bCs/>
                <w:sz w:val="20"/>
                <w:szCs w:val="20"/>
              </w:rPr>
              <w:t>6-12 year old</w:t>
            </w:r>
            <w:proofErr w:type="gramEnd"/>
            <w:r w:rsidR="002B2036" w:rsidRPr="00E52B88">
              <w:rPr>
                <w:bCs/>
                <w:sz w:val="20"/>
                <w:szCs w:val="20"/>
              </w:rPr>
              <w:t xml:space="preserve"> children’s pencil grasps </w:t>
            </w:r>
            <w:r w:rsidRPr="00E52B88">
              <w:rPr>
                <w:bCs/>
                <w:sz w:val="20"/>
                <w:szCs w:val="20"/>
              </w:rPr>
              <w:t xml:space="preserve">is unlikely to affect their </w:t>
            </w:r>
            <w:r w:rsidR="002B2036" w:rsidRPr="00E52B88">
              <w:rPr>
                <w:bCs/>
                <w:sz w:val="20"/>
                <w:szCs w:val="20"/>
              </w:rPr>
              <w:t xml:space="preserve">handwriting, provided they are using </w:t>
            </w:r>
            <w:r w:rsidR="00433AC3" w:rsidRPr="00E52B88">
              <w:rPr>
                <w:bCs/>
                <w:sz w:val="20"/>
                <w:szCs w:val="20"/>
              </w:rPr>
              <w:t xml:space="preserve">a </w:t>
            </w:r>
            <w:r w:rsidR="002B2036" w:rsidRPr="00E52B88">
              <w:rPr>
                <w:bCs/>
                <w:sz w:val="20"/>
                <w:szCs w:val="20"/>
              </w:rPr>
              <w:t>mature grasp.</w:t>
            </w:r>
            <w:r w:rsidRPr="00E52B88">
              <w:rPr>
                <w:bCs/>
                <w:sz w:val="20"/>
                <w:szCs w:val="20"/>
              </w:rPr>
              <w:t xml:space="preserve"> However, these results should be approached with caution due to the limited and relatively low level of evidence available. Further research is recommended using samples representative of the population and a </w:t>
            </w:r>
            <w:proofErr w:type="gramStart"/>
            <w:r w:rsidRPr="00E52B88">
              <w:rPr>
                <w:bCs/>
                <w:sz w:val="20"/>
                <w:szCs w:val="20"/>
              </w:rPr>
              <w:t>higher level</w:t>
            </w:r>
            <w:proofErr w:type="gramEnd"/>
            <w:r w:rsidRPr="00E52B88">
              <w:rPr>
                <w:bCs/>
                <w:sz w:val="20"/>
                <w:szCs w:val="20"/>
              </w:rPr>
              <w:t xml:space="preserve"> study design. </w:t>
            </w:r>
          </w:p>
        </w:tc>
      </w:tr>
      <w:tr w:rsidR="00364DF6" w14:paraId="08E8BAC8" w14:textId="0E7EB5B5" w:rsidTr="008A4441">
        <w:trPr>
          <w:trHeight w:val="392"/>
        </w:trPr>
        <w:tc>
          <w:tcPr>
            <w:tcW w:w="2106" w:type="dxa"/>
            <w:vAlign w:val="center"/>
          </w:tcPr>
          <w:p w14:paraId="7080667D" w14:textId="67308385" w:rsidR="00364DF6" w:rsidRDefault="008F35F7" w:rsidP="00493EA0">
            <w:pPr>
              <w:spacing w:after="0" w:line="240" w:lineRule="auto"/>
              <w:rPr>
                <w:b/>
                <w:bCs/>
              </w:rPr>
            </w:pPr>
            <w:r w:rsidRPr="00F158AE">
              <w:rPr>
                <w:b/>
                <w:bCs/>
              </w:rPr>
              <w:t>Implications for clinical practice</w:t>
            </w:r>
          </w:p>
        </w:tc>
        <w:tc>
          <w:tcPr>
            <w:tcW w:w="8810" w:type="dxa"/>
          </w:tcPr>
          <w:p w14:paraId="2E0DA337" w14:textId="16EC93DD" w:rsidR="002B2036" w:rsidRPr="00E52B88" w:rsidRDefault="00974F57" w:rsidP="00344493">
            <w:pPr>
              <w:spacing w:after="0" w:line="240" w:lineRule="auto"/>
              <w:ind w:left="9"/>
              <w:jc w:val="both"/>
              <w:rPr>
                <w:bCs/>
                <w:sz w:val="20"/>
                <w:szCs w:val="20"/>
              </w:rPr>
            </w:pPr>
            <w:r w:rsidRPr="00E52B88">
              <w:rPr>
                <w:bCs/>
                <w:sz w:val="20"/>
                <w:szCs w:val="20"/>
              </w:rPr>
              <w:t>C</w:t>
            </w:r>
            <w:r w:rsidR="002B2036" w:rsidRPr="00E52B88">
              <w:rPr>
                <w:bCs/>
                <w:sz w:val="20"/>
                <w:szCs w:val="20"/>
              </w:rPr>
              <w:t xml:space="preserve">hildren using mature grasps are unlikely to require clinical interventions </w:t>
            </w:r>
            <w:r w:rsidR="00C45E5C" w:rsidRPr="00E52B88">
              <w:rPr>
                <w:bCs/>
                <w:sz w:val="20"/>
                <w:szCs w:val="20"/>
              </w:rPr>
              <w:t>that change</w:t>
            </w:r>
            <w:r w:rsidR="002B2036" w:rsidRPr="00E52B88">
              <w:rPr>
                <w:bCs/>
                <w:sz w:val="20"/>
                <w:szCs w:val="20"/>
              </w:rPr>
              <w:t xml:space="preserve"> their grasp to</w:t>
            </w:r>
            <w:r w:rsidR="00C45E5C" w:rsidRPr="00E52B88">
              <w:rPr>
                <w:bCs/>
                <w:sz w:val="20"/>
                <w:szCs w:val="20"/>
              </w:rPr>
              <w:t xml:space="preserve"> improve their handwriting. </w:t>
            </w:r>
          </w:p>
        </w:tc>
      </w:tr>
    </w:tbl>
    <w:p w14:paraId="521B8F23" w14:textId="77777777" w:rsidR="008A4441" w:rsidRDefault="008A4441" w:rsidP="00BA4313">
      <w:pPr>
        <w:pStyle w:val="ListParagraph"/>
        <w:ind w:left="-426"/>
        <w:jc w:val="both"/>
        <w:rPr>
          <w:sz w:val="18"/>
          <w:szCs w:val="18"/>
        </w:rPr>
      </w:pPr>
    </w:p>
    <w:p w14:paraId="5CA062CB" w14:textId="2F31FAD0" w:rsidR="00AC7A11" w:rsidRPr="00E35104" w:rsidRDefault="00AC7A11" w:rsidP="00BA4313">
      <w:pPr>
        <w:pStyle w:val="ListParagraph"/>
        <w:numPr>
          <w:ilvl w:val="0"/>
          <w:numId w:val="3"/>
        </w:numPr>
        <w:ind w:left="-426" w:hanging="283"/>
        <w:jc w:val="both"/>
        <w:rPr>
          <w:sz w:val="16"/>
          <w:szCs w:val="16"/>
        </w:rPr>
      </w:pPr>
      <w:proofErr w:type="spellStart"/>
      <w:r w:rsidRPr="00E35104">
        <w:rPr>
          <w:sz w:val="16"/>
          <w:szCs w:val="16"/>
        </w:rPr>
        <w:t>Schwellnus</w:t>
      </w:r>
      <w:proofErr w:type="spellEnd"/>
      <w:r w:rsidRPr="00E35104">
        <w:rPr>
          <w:sz w:val="16"/>
          <w:szCs w:val="16"/>
        </w:rPr>
        <w:t>, H</w:t>
      </w:r>
      <w:r w:rsidR="00915189" w:rsidRPr="00E35104">
        <w:rPr>
          <w:sz w:val="16"/>
          <w:szCs w:val="16"/>
        </w:rPr>
        <w:t>.</w:t>
      </w:r>
      <w:r w:rsidRPr="00E35104">
        <w:rPr>
          <w:sz w:val="16"/>
          <w:szCs w:val="16"/>
        </w:rPr>
        <w:t>, Carnahan, H</w:t>
      </w:r>
      <w:r w:rsidR="00915189" w:rsidRPr="00E35104">
        <w:rPr>
          <w:sz w:val="16"/>
          <w:szCs w:val="16"/>
        </w:rPr>
        <w:t>.</w:t>
      </w:r>
      <w:r w:rsidRPr="00E35104">
        <w:rPr>
          <w:sz w:val="16"/>
          <w:szCs w:val="16"/>
        </w:rPr>
        <w:t xml:space="preserve">, </w:t>
      </w:r>
      <w:proofErr w:type="spellStart"/>
      <w:r w:rsidRPr="00E35104">
        <w:rPr>
          <w:sz w:val="16"/>
          <w:szCs w:val="16"/>
        </w:rPr>
        <w:t>Kushki</w:t>
      </w:r>
      <w:proofErr w:type="spellEnd"/>
      <w:r w:rsidRPr="00E35104">
        <w:rPr>
          <w:sz w:val="16"/>
          <w:szCs w:val="16"/>
        </w:rPr>
        <w:t>, A</w:t>
      </w:r>
      <w:r w:rsidR="00915189" w:rsidRPr="00E35104">
        <w:rPr>
          <w:sz w:val="16"/>
          <w:szCs w:val="16"/>
        </w:rPr>
        <w:t>.</w:t>
      </w:r>
      <w:r w:rsidRPr="00E35104">
        <w:rPr>
          <w:sz w:val="16"/>
          <w:szCs w:val="16"/>
        </w:rPr>
        <w:t>, Polatajko, H</w:t>
      </w:r>
      <w:r w:rsidR="00915189" w:rsidRPr="00E35104">
        <w:rPr>
          <w:sz w:val="16"/>
          <w:szCs w:val="16"/>
        </w:rPr>
        <w:t>.</w:t>
      </w:r>
      <w:r w:rsidRPr="00E35104">
        <w:rPr>
          <w:sz w:val="16"/>
          <w:szCs w:val="16"/>
        </w:rPr>
        <w:t xml:space="preserve">, </w:t>
      </w:r>
      <w:proofErr w:type="spellStart"/>
      <w:r w:rsidRPr="00E35104">
        <w:rPr>
          <w:sz w:val="16"/>
          <w:szCs w:val="16"/>
        </w:rPr>
        <w:t>Missiuna</w:t>
      </w:r>
      <w:proofErr w:type="spellEnd"/>
      <w:r w:rsidRPr="00E35104">
        <w:rPr>
          <w:sz w:val="16"/>
          <w:szCs w:val="16"/>
        </w:rPr>
        <w:t>, C</w:t>
      </w:r>
      <w:r w:rsidR="00915189" w:rsidRPr="00E35104">
        <w:rPr>
          <w:sz w:val="16"/>
          <w:szCs w:val="16"/>
        </w:rPr>
        <w:t>.</w:t>
      </w:r>
      <w:r w:rsidRPr="00E35104">
        <w:rPr>
          <w:sz w:val="16"/>
          <w:szCs w:val="16"/>
        </w:rPr>
        <w:t xml:space="preserve"> &amp; Chau, T</w:t>
      </w:r>
      <w:r w:rsidR="00915189" w:rsidRPr="00E35104">
        <w:rPr>
          <w:sz w:val="16"/>
          <w:szCs w:val="16"/>
        </w:rPr>
        <w:t>. (</w:t>
      </w:r>
      <w:r w:rsidRPr="00E35104">
        <w:rPr>
          <w:sz w:val="16"/>
          <w:szCs w:val="16"/>
        </w:rPr>
        <w:t>2012</w:t>
      </w:r>
      <w:r w:rsidR="00915189" w:rsidRPr="00E35104">
        <w:rPr>
          <w:sz w:val="16"/>
          <w:szCs w:val="16"/>
        </w:rPr>
        <w:t xml:space="preserve">). </w:t>
      </w:r>
      <w:r w:rsidRPr="00E35104">
        <w:rPr>
          <w:sz w:val="16"/>
          <w:szCs w:val="16"/>
        </w:rPr>
        <w:t xml:space="preserve">Effect of pencil grasp on the speed and legibility of handwriting in children, </w:t>
      </w:r>
      <w:r w:rsidRPr="00E35104">
        <w:rPr>
          <w:i/>
          <w:iCs/>
          <w:sz w:val="16"/>
          <w:szCs w:val="16"/>
        </w:rPr>
        <w:t>American Journal of Occupational Therapy</w:t>
      </w:r>
      <w:r w:rsidRPr="00E35104">
        <w:rPr>
          <w:sz w:val="16"/>
          <w:szCs w:val="16"/>
        </w:rPr>
        <w:t xml:space="preserve">, </w:t>
      </w:r>
      <w:r w:rsidRPr="00E35104">
        <w:rPr>
          <w:i/>
          <w:iCs/>
          <w:sz w:val="16"/>
          <w:szCs w:val="16"/>
        </w:rPr>
        <w:t>66</w:t>
      </w:r>
      <w:r w:rsidR="00915189" w:rsidRPr="00E35104">
        <w:rPr>
          <w:sz w:val="16"/>
          <w:szCs w:val="16"/>
        </w:rPr>
        <w:t>(</w:t>
      </w:r>
      <w:r w:rsidRPr="00E35104">
        <w:rPr>
          <w:sz w:val="16"/>
          <w:szCs w:val="16"/>
        </w:rPr>
        <w:t>6</w:t>
      </w:r>
      <w:r w:rsidR="00915189" w:rsidRPr="00E35104">
        <w:rPr>
          <w:sz w:val="16"/>
          <w:szCs w:val="16"/>
        </w:rPr>
        <w:t>)</w:t>
      </w:r>
      <w:r w:rsidRPr="00E35104">
        <w:rPr>
          <w:sz w:val="16"/>
          <w:szCs w:val="16"/>
        </w:rPr>
        <w:t>, pp. 718–726</w:t>
      </w:r>
      <w:r w:rsidR="00915189" w:rsidRPr="00E35104">
        <w:rPr>
          <w:sz w:val="16"/>
          <w:szCs w:val="16"/>
        </w:rPr>
        <w:t>.</w:t>
      </w:r>
    </w:p>
    <w:p w14:paraId="104EE912" w14:textId="4BE22C50" w:rsidR="00AC7A11" w:rsidRPr="00E35104" w:rsidRDefault="00AC7A11" w:rsidP="00BA4313">
      <w:pPr>
        <w:pStyle w:val="ListParagraph"/>
        <w:numPr>
          <w:ilvl w:val="0"/>
          <w:numId w:val="3"/>
        </w:numPr>
        <w:ind w:left="-426" w:hanging="283"/>
        <w:jc w:val="both"/>
        <w:rPr>
          <w:sz w:val="16"/>
          <w:szCs w:val="16"/>
        </w:rPr>
      </w:pPr>
      <w:proofErr w:type="spellStart"/>
      <w:r w:rsidRPr="00E35104">
        <w:rPr>
          <w:sz w:val="16"/>
          <w:szCs w:val="16"/>
        </w:rPr>
        <w:t>Ziviani</w:t>
      </w:r>
      <w:proofErr w:type="spellEnd"/>
      <w:r w:rsidRPr="00E35104">
        <w:rPr>
          <w:sz w:val="16"/>
          <w:szCs w:val="16"/>
        </w:rPr>
        <w:t>, J. &amp; Elkins, J</w:t>
      </w:r>
      <w:r w:rsidR="00915189" w:rsidRPr="00E35104">
        <w:rPr>
          <w:sz w:val="16"/>
          <w:szCs w:val="16"/>
        </w:rPr>
        <w:t>. (</w:t>
      </w:r>
      <w:r w:rsidRPr="00E35104">
        <w:rPr>
          <w:sz w:val="16"/>
          <w:szCs w:val="16"/>
        </w:rPr>
        <w:t>1986</w:t>
      </w:r>
      <w:r w:rsidR="00915189" w:rsidRPr="00E35104">
        <w:rPr>
          <w:sz w:val="16"/>
          <w:szCs w:val="16"/>
        </w:rPr>
        <w:t xml:space="preserve">). </w:t>
      </w:r>
      <w:r w:rsidRPr="00E35104">
        <w:rPr>
          <w:sz w:val="16"/>
          <w:szCs w:val="16"/>
        </w:rPr>
        <w:t xml:space="preserve">Effect </w:t>
      </w:r>
      <w:r w:rsidR="007F3C65" w:rsidRPr="00E35104">
        <w:rPr>
          <w:sz w:val="16"/>
          <w:szCs w:val="16"/>
        </w:rPr>
        <w:t>of pencil grip on handwriting speed and legibility</w:t>
      </w:r>
      <w:r w:rsidRPr="00E35104">
        <w:rPr>
          <w:sz w:val="16"/>
          <w:szCs w:val="16"/>
        </w:rPr>
        <w:t xml:space="preserve">, </w:t>
      </w:r>
      <w:r w:rsidRPr="00E35104">
        <w:rPr>
          <w:i/>
          <w:iCs/>
          <w:sz w:val="16"/>
          <w:szCs w:val="16"/>
        </w:rPr>
        <w:t>Educational Review</w:t>
      </w:r>
      <w:r w:rsidRPr="00E35104">
        <w:rPr>
          <w:sz w:val="16"/>
          <w:szCs w:val="16"/>
        </w:rPr>
        <w:t xml:space="preserve">, </w:t>
      </w:r>
      <w:r w:rsidRPr="00E35104">
        <w:rPr>
          <w:i/>
          <w:iCs/>
          <w:sz w:val="16"/>
          <w:szCs w:val="16"/>
        </w:rPr>
        <w:t>38</w:t>
      </w:r>
      <w:r w:rsidR="00915189" w:rsidRPr="00E35104">
        <w:rPr>
          <w:sz w:val="16"/>
          <w:szCs w:val="16"/>
        </w:rPr>
        <w:t>(</w:t>
      </w:r>
      <w:r w:rsidRPr="00E35104">
        <w:rPr>
          <w:sz w:val="16"/>
          <w:szCs w:val="16"/>
        </w:rPr>
        <w:t>3</w:t>
      </w:r>
      <w:r w:rsidR="00915189" w:rsidRPr="00E35104">
        <w:rPr>
          <w:sz w:val="16"/>
          <w:szCs w:val="16"/>
        </w:rPr>
        <w:t xml:space="preserve">), </w:t>
      </w:r>
      <w:r w:rsidRPr="00E35104">
        <w:rPr>
          <w:sz w:val="16"/>
          <w:szCs w:val="16"/>
        </w:rPr>
        <w:t xml:space="preserve">247-257. </w:t>
      </w:r>
    </w:p>
    <w:p w14:paraId="569AE8A4" w14:textId="3520CDC2" w:rsidR="00AC7A11" w:rsidRPr="00E35104" w:rsidRDefault="00AC7A11" w:rsidP="00BA4313">
      <w:pPr>
        <w:pStyle w:val="ListParagraph"/>
        <w:numPr>
          <w:ilvl w:val="0"/>
          <w:numId w:val="3"/>
        </w:numPr>
        <w:ind w:left="-426" w:hanging="283"/>
        <w:jc w:val="both"/>
        <w:rPr>
          <w:sz w:val="16"/>
          <w:szCs w:val="16"/>
        </w:rPr>
      </w:pPr>
      <w:r w:rsidRPr="00E35104">
        <w:rPr>
          <w:sz w:val="16"/>
          <w:szCs w:val="16"/>
        </w:rPr>
        <w:t>Dennis, J</w:t>
      </w:r>
      <w:r w:rsidR="00447C58">
        <w:rPr>
          <w:sz w:val="16"/>
          <w:szCs w:val="16"/>
        </w:rPr>
        <w:t>.</w:t>
      </w:r>
      <w:r w:rsidRPr="00E35104">
        <w:rPr>
          <w:sz w:val="16"/>
          <w:szCs w:val="16"/>
        </w:rPr>
        <w:t>L</w:t>
      </w:r>
      <w:r w:rsidR="00662CBF" w:rsidRPr="00E35104">
        <w:rPr>
          <w:sz w:val="16"/>
          <w:szCs w:val="16"/>
        </w:rPr>
        <w:t>.</w:t>
      </w:r>
      <w:r w:rsidRPr="00E35104">
        <w:rPr>
          <w:sz w:val="16"/>
          <w:szCs w:val="16"/>
        </w:rPr>
        <w:t xml:space="preserve"> &amp; </w:t>
      </w:r>
      <w:proofErr w:type="spellStart"/>
      <w:r w:rsidRPr="00E35104">
        <w:rPr>
          <w:sz w:val="16"/>
          <w:szCs w:val="16"/>
        </w:rPr>
        <w:t>Swinth</w:t>
      </w:r>
      <w:proofErr w:type="spellEnd"/>
      <w:r w:rsidR="00662CBF" w:rsidRPr="00E35104">
        <w:rPr>
          <w:sz w:val="16"/>
          <w:szCs w:val="16"/>
        </w:rPr>
        <w:t>,</w:t>
      </w:r>
      <w:r w:rsidRPr="00E35104">
        <w:rPr>
          <w:sz w:val="16"/>
          <w:szCs w:val="16"/>
        </w:rPr>
        <w:t xml:space="preserve"> Y</w:t>
      </w:r>
      <w:r w:rsidR="00662CBF" w:rsidRPr="00E35104">
        <w:rPr>
          <w:sz w:val="16"/>
          <w:szCs w:val="16"/>
        </w:rPr>
        <w:t>. (</w:t>
      </w:r>
      <w:r w:rsidRPr="00E35104">
        <w:rPr>
          <w:sz w:val="16"/>
          <w:szCs w:val="16"/>
        </w:rPr>
        <w:t>2001</w:t>
      </w:r>
      <w:r w:rsidR="00662CBF" w:rsidRPr="00E35104">
        <w:rPr>
          <w:sz w:val="16"/>
          <w:szCs w:val="16"/>
        </w:rPr>
        <w:t xml:space="preserve">). </w:t>
      </w:r>
      <w:r w:rsidRPr="00E35104">
        <w:rPr>
          <w:sz w:val="16"/>
          <w:szCs w:val="16"/>
        </w:rPr>
        <w:t xml:space="preserve">Pencil grasp and children’s handwriting legibility during different-length writing tasks, </w:t>
      </w:r>
      <w:r w:rsidRPr="00E35104">
        <w:rPr>
          <w:i/>
          <w:iCs/>
          <w:sz w:val="16"/>
          <w:szCs w:val="16"/>
        </w:rPr>
        <w:t>American Journal of Occupational Therapy</w:t>
      </w:r>
      <w:r w:rsidRPr="00E35104">
        <w:rPr>
          <w:sz w:val="16"/>
          <w:szCs w:val="16"/>
        </w:rPr>
        <w:t xml:space="preserve">, </w:t>
      </w:r>
      <w:r w:rsidRPr="00E35104">
        <w:rPr>
          <w:i/>
          <w:iCs/>
          <w:sz w:val="16"/>
          <w:szCs w:val="16"/>
        </w:rPr>
        <w:t>55</w:t>
      </w:r>
      <w:r w:rsidR="007F3C65" w:rsidRPr="00E35104">
        <w:rPr>
          <w:sz w:val="16"/>
          <w:szCs w:val="16"/>
        </w:rPr>
        <w:t>(</w:t>
      </w:r>
      <w:r w:rsidRPr="00E35104">
        <w:rPr>
          <w:sz w:val="16"/>
          <w:szCs w:val="16"/>
        </w:rPr>
        <w:t>2</w:t>
      </w:r>
      <w:r w:rsidR="007F3C65" w:rsidRPr="00E35104">
        <w:rPr>
          <w:sz w:val="16"/>
          <w:szCs w:val="16"/>
        </w:rPr>
        <w:t xml:space="preserve">), </w:t>
      </w:r>
      <w:r w:rsidRPr="00E35104">
        <w:rPr>
          <w:sz w:val="16"/>
          <w:szCs w:val="16"/>
        </w:rPr>
        <w:t>175–183.</w:t>
      </w:r>
    </w:p>
    <w:p w14:paraId="256DC155" w14:textId="11D4D8DA" w:rsidR="00D36D43" w:rsidRDefault="00AC7A11" w:rsidP="00BA4313">
      <w:pPr>
        <w:pStyle w:val="ListParagraph"/>
        <w:numPr>
          <w:ilvl w:val="0"/>
          <w:numId w:val="3"/>
        </w:numPr>
        <w:ind w:left="-426" w:hanging="283"/>
        <w:jc w:val="both"/>
        <w:rPr>
          <w:sz w:val="16"/>
          <w:szCs w:val="16"/>
        </w:rPr>
      </w:pPr>
      <w:proofErr w:type="spellStart"/>
      <w:r w:rsidRPr="00E35104">
        <w:rPr>
          <w:sz w:val="16"/>
          <w:szCs w:val="16"/>
        </w:rPr>
        <w:t>Koziatek</w:t>
      </w:r>
      <w:proofErr w:type="spellEnd"/>
      <w:r w:rsidRPr="00E35104">
        <w:rPr>
          <w:sz w:val="16"/>
          <w:szCs w:val="16"/>
        </w:rPr>
        <w:t>, S</w:t>
      </w:r>
      <w:r w:rsidR="00447C58">
        <w:rPr>
          <w:sz w:val="16"/>
          <w:szCs w:val="16"/>
        </w:rPr>
        <w:t>.</w:t>
      </w:r>
      <w:r w:rsidRPr="00E35104">
        <w:rPr>
          <w:sz w:val="16"/>
          <w:szCs w:val="16"/>
        </w:rPr>
        <w:t>M</w:t>
      </w:r>
      <w:r w:rsidR="007F3C65" w:rsidRPr="00E35104">
        <w:rPr>
          <w:sz w:val="16"/>
          <w:szCs w:val="16"/>
        </w:rPr>
        <w:t>.</w:t>
      </w:r>
      <w:r w:rsidRPr="00E35104">
        <w:rPr>
          <w:sz w:val="16"/>
          <w:szCs w:val="16"/>
        </w:rPr>
        <w:t xml:space="preserve">, </w:t>
      </w:r>
      <w:r w:rsidR="007F3C65" w:rsidRPr="00E35104">
        <w:rPr>
          <w:sz w:val="16"/>
          <w:szCs w:val="16"/>
        </w:rPr>
        <w:t xml:space="preserve">&amp; </w:t>
      </w:r>
      <w:r w:rsidRPr="00E35104">
        <w:rPr>
          <w:sz w:val="16"/>
          <w:szCs w:val="16"/>
        </w:rPr>
        <w:t>Powell, N</w:t>
      </w:r>
      <w:r w:rsidR="00447C58">
        <w:rPr>
          <w:sz w:val="16"/>
          <w:szCs w:val="16"/>
        </w:rPr>
        <w:t>.</w:t>
      </w:r>
      <w:r w:rsidRPr="00E35104">
        <w:rPr>
          <w:sz w:val="16"/>
          <w:szCs w:val="16"/>
        </w:rPr>
        <w:t>J</w:t>
      </w:r>
      <w:r w:rsidR="007F3C65" w:rsidRPr="00E35104">
        <w:rPr>
          <w:sz w:val="16"/>
          <w:szCs w:val="16"/>
        </w:rPr>
        <w:t>. (</w:t>
      </w:r>
      <w:r w:rsidRPr="00E35104">
        <w:rPr>
          <w:sz w:val="16"/>
          <w:szCs w:val="16"/>
        </w:rPr>
        <w:t>2003</w:t>
      </w:r>
      <w:r w:rsidR="007F3C65" w:rsidRPr="00E35104">
        <w:rPr>
          <w:sz w:val="16"/>
          <w:szCs w:val="16"/>
        </w:rPr>
        <w:t xml:space="preserve">). </w:t>
      </w:r>
      <w:r w:rsidRPr="00E35104">
        <w:rPr>
          <w:sz w:val="16"/>
          <w:szCs w:val="16"/>
        </w:rPr>
        <w:t xml:space="preserve">Pencil </w:t>
      </w:r>
      <w:r w:rsidR="007F3C65" w:rsidRPr="00E35104">
        <w:rPr>
          <w:sz w:val="16"/>
          <w:szCs w:val="16"/>
        </w:rPr>
        <w:t xml:space="preserve">grips, legibility, and speed of </w:t>
      </w:r>
      <w:proofErr w:type="gramStart"/>
      <w:r w:rsidR="007F3C65" w:rsidRPr="00E35104">
        <w:rPr>
          <w:sz w:val="16"/>
          <w:szCs w:val="16"/>
        </w:rPr>
        <w:t>fourth-graders’</w:t>
      </w:r>
      <w:proofErr w:type="gramEnd"/>
      <w:r w:rsidR="007F3C65" w:rsidRPr="00E35104">
        <w:rPr>
          <w:sz w:val="16"/>
          <w:szCs w:val="16"/>
        </w:rPr>
        <w:t xml:space="preserve"> writing in cursive</w:t>
      </w:r>
      <w:r w:rsidRPr="00E35104">
        <w:rPr>
          <w:sz w:val="16"/>
          <w:szCs w:val="16"/>
        </w:rPr>
        <w:t xml:space="preserve">, </w:t>
      </w:r>
      <w:r w:rsidRPr="00E35104">
        <w:rPr>
          <w:i/>
          <w:iCs/>
          <w:sz w:val="16"/>
          <w:szCs w:val="16"/>
        </w:rPr>
        <w:t>American Journal of Occupational Therapy</w:t>
      </w:r>
      <w:r w:rsidRPr="00E35104">
        <w:rPr>
          <w:sz w:val="16"/>
          <w:szCs w:val="16"/>
        </w:rPr>
        <w:t xml:space="preserve">, </w:t>
      </w:r>
      <w:r w:rsidRPr="00447C58">
        <w:rPr>
          <w:i/>
          <w:iCs/>
          <w:sz w:val="16"/>
          <w:szCs w:val="16"/>
        </w:rPr>
        <w:t>57</w:t>
      </w:r>
      <w:r w:rsidR="007F3C65" w:rsidRPr="00E35104">
        <w:rPr>
          <w:sz w:val="16"/>
          <w:szCs w:val="16"/>
        </w:rPr>
        <w:t>(</w:t>
      </w:r>
      <w:r w:rsidRPr="00E35104">
        <w:rPr>
          <w:sz w:val="16"/>
          <w:szCs w:val="16"/>
        </w:rPr>
        <w:t>3</w:t>
      </w:r>
      <w:r w:rsidR="007F3C65" w:rsidRPr="00E35104">
        <w:rPr>
          <w:sz w:val="16"/>
          <w:szCs w:val="16"/>
        </w:rPr>
        <w:t xml:space="preserve">), </w:t>
      </w:r>
      <w:r w:rsidRPr="00E35104">
        <w:rPr>
          <w:sz w:val="16"/>
          <w:szCs w:val="16"/>
        </w:rPr>
        <w:t>284-288</w:t>
      </w:r>
      <w:r w:rsidR="007F3C65" w:rsidRPr="00E35104">
        <w:rPr>
          <w:sz w:val="16"/>
          <w:szCs w:val="16"/>
        </w:rPr>
        <w:t>.</w:t>
      </w:r>
    </w:p>
    <w:p w14:paraId="6B5031CF" w14:textId="7D9427A7" w:rsidR="00B11478" w:rsidRDefault="00B11478" w:rsidP="00BA4313">
      <w:pPr>
        <w:pStyle w:val="ListParagraph"/>
        <w:numPr>
          <w:ilvl w:val="0"/>
          <w:numId w:val="3"/>
        </w:numPr>
        <w:ind w:left="-426" w:hanging="283"/>
        <w:jc w:val="both"/>
        <w:rPr>
          <w:sz w:val="16"/>
          <w:szCs w:val="16"/>
        </w:rPr>
      </w:pPr>
      <w:r w:rsidRPr="00B11478">
        <w:rPr>
          <w:sz w:val="16"/>
          <w:szCs w:val="16"/>
        </w:rPr>
        <w:t>Graham, S</w:t>
      </w:r>
      <w:r w:rsidR="00447C58">
        <w:rPr>
          <w:sz w:val="16"/>
          <w:szCs w:val="16"/>
        </w:rPr>
        <w:t>.</w:t>
      </w:r>
      <w:r w:rsidRPr="00B11478">
        <w:rPr>
          <w:sz w:val="16"/>
          <w:szCs w:val="16"/>
        </w:rPr>
        <w:t>, Harris, K</w:t>
      </w:r>
      <w:r w:rsidR="00447C58">
        <w:rPr>
          <w:sz w:val="16"/>
          <w:szCs w:val="16"/>
        </w:rPr>
        <w:t>.</w:t>
      </w:r>
      <w:r w:rsidRPr="00B11478">
        <w:rPr>
          <w:sz w:val="16"/>
          <w:szCs w:val="16"/>
        </w:rPr>
        <w:t>, Mason, R</w:t>
      </w:r>
      <w:r w:rsidR="00447C58">
        <w:rPr>
          <w:sz w:val="16"/>
          <w:szCs w:val="16"/>
        </w:rPr>
        <w:t>.</w:t>
      </w:r>
      <w:r w:rsidRPr="00B11478">
        <w:rPr>
          <w:sz w:val="16"/>
          <w:szCs w:val="16"/>
        </w:rPr>
        <w:t>, Fink-</w:t>
      </w:r>
      <w:proofErr w:type="spellStart"/>
      <w:r w:rsidRPr="00B11478">
        <w:rPr>
          <w:sz w:val="16"/>
          <w:szCs w:val="16"/>
        </w:rPr>
        <w:t>Chorzempa</w:t>
      </w:r>
      <w:proofErr w:type="spellEnd"/>
      <w:r w:rsidRPr="00B11478">
        <w:rPr>
          <w:sz w:val="16"/>
          <w:szCs w:val="16"/>
        </w:rPr>
        <w:t>, L</w:t>
      </w:r>
      <w:r w:rsidR="00447C58">
        <w:rPr>
          <w:sz w:val="16"/>
          <w:szCs w:val="16"/>
        </w:rPr>
        <w:t>.</w:t>
      </w:r>
      <w:r w:rsidRPr="00B11478">
        <w:rPr>
          <w:sz w:val="16"/>
          <w:szCs w:val="16"/>
        </w:rPr>
        <w:t>, Moran, B</w:t>
      </w:r>
      <w:r w:rsidR="00447C58">
        <w:rPr>
          <w:sz w:val="16"/>
          <w:szCs w:val="16"/>
        </w:rPr>
        <w:t>.</w:t>
      </w:r>
      <w:r w:rsidRPr="00B11478">
        <w:rPr>
          <w:sz w:val="16"/>
          <w:szCs w:val="16"/>
        </w:rPr>
        <w:t xml:space="preserve"> &amp; Saddler, S</w:t>
      </w:r>
      <w:r w:rsidR="00447C58">
        <w:rPr>
          <w:sz w:val="16"/>
          <w:szCs w:val="16"/>
        </w:rPr>
        <w:t>. (</w:t>
      </w:r>
      <w:r w:rsidRPr="00B11478">
        <w:rPr>
          <w:sz w:val="16"/>
          <w:szCs w:val="16"/>
        </w:rPr>
        <w:t>2008</w:t>
      </w:r>
      <w:r w:rsidR="00447C58">
        <w:rPr>
          <w:sz w:val="16"/>
          <w:szCs w:val="16"/>
        </w:rPr>
        <w:t xml:space="preserve">). </w:t>
      </w:r>
      <w:r w:rsidRPr="00B11478">
        <w:rPr>
          <w:sz w:val="16"/>
          <w:szCs w:val="16"/>
        </w:rPr>
        <w:t>How do primary grade teachers teach handwriting? A national survey</w:t>
      </w:r>
      <w:r w:rsidRPr="00447C58">
        <w:rPr>
          <w:i/>
          <w:iCs/>
          <w:sz w:val="16"/>
          <w:szCs w:val="16"/>
        </w:rPr>
        <w:t>, Reading and Writing</w:t>
      </w:r>
      <w:r w:rsidRPr="00B11478">
        <w:rPr>
          <w:sz w:val="16"/>
          <w:szCs w:val="16"/>
        </w:rPr>
        <w:t xml:space="preserve">, </w:t>
      </w:r>
      <w:r w:rsidRPr="00447C58">
        <w:rPr>
          <w:i/>
          <w:iCs/>
          <w:sz w:val="16"/>
          <w:szCs w:val="16"/>
        </w:rPr>
        <w:t>21</w:t>
      </w:r>
      <w:r w:rsidR="00447C58">
        <w:rPr>
          <w:sz w:val="16"/>
          <w:szCs w:val="16"/>
        </w:rPr>
        <w:t>(</w:t>
      </w:r>
      <w:r w:rsidRPr="00B11478">
        <w:rPr>
          <w:sz w:val="16"/>
          <w:szCs w:val="16"/>
        </w:rPr>
        <w:t>1</w:t>
      </w:r>
      <w:r w:rsidR="00447C58">
        <w:rPr>
          <w:sz w:val="16"/>
          <w:szCs w:val="16"/>
        </w:rPr>
        <w:t xml:space="preserve">), </w:t>
      </w:r>
      <w:r w:rsidRPr="00B11478">
        <w:rPr>
          <w:sz w:val="16"/>
          <w:szCs w:val="16"/>
        </w:rPr>
        <w:t>49–69.</w:t>
      </w:r>
    </w:p>
    <w:p w14:paraId="6F01F28E" w14:textId="2BE6C9D5" w:rsidR="00B11478" w:rsidRPr="00E35104" w:rsidRDefault="00B11478" w:rsidP="00BA4313">
      <w:pPr>
        <w:pStyle w:val="ListParagraph"/>
        <w:numPr>
          <w:ilvl w:val="0"/>
          <w:numId w:val="3"/>
        </w:numPr>
        <w:ind w:left="-426" w:hanging="283"/>
        <w:jc w:val="both"/>
        <w:rPr>
          <w:sz w:val="16"/>
          <w:szCs w:val="16"/>
        </w:rPr>
      </w:pPr>
      <w:r w:rsidRPr="00B11478">
        <w:rPr>
          <w:sz w:val="16"/>
          <w:szCs w:val="16"/>
        </w:rPr>
        <w:t>Chang, S.H., &amp; Yu, N.Y. (2005). Evaluation and classification of types of Chinese handwriting deficits in elementary schoolchildren</w:t>
      </w:r>
      <w:r w:rsidR="00447C58">
        <w:rPr>
          <w:sz w:val="16"/>
          <w:szCs w:val="16"/>
        </w:rPr>
        <w:t>,</w:t>
      </w:r>
      <w:r w:rsidRPr="00B11478">
        <w:rPr>
          <w:sz w:val="16"/>
          <w:szCs w:val="16"/>
        </w:rPr>
        <w:t xml:space="preserve"> </w:t>
      </w:r>
      <w:r w:rsidRPr="00447C58">
        <w:rPr>
          <w:i/>
          <w:iCs/>
          <w:sz w:val="16"/>
          <w:szCs w:val="16"/>
        </w:rPr>
        <w:t xml:space="preserve">Perceptual </w:t>
      </w:r>
      <w:r w:rsidR="00447C58">
        <w:rPr>
          <w:i/>
          <w:iCs/>
          <w:sz w:val="16"/>
          <w:szCs w:val="16"/>
        </w:rPr>
        <w:t>a</w:t>
      </w:r>
      <w:r w:rsidR="00447C58" w:rsidRPr="00447C58">
        <w:rPr>
          <w:i/>
          <w:iCs/>
          <w:sz w:val="16"/>
          <w:szCs w:val="16"/>
        </w:rPr>
        <w:t>nd Motor Skills</w:t>
      </w:r>
      <w:r w:rsidRPr="00B11478">
        <w:rPr>
          <w:sz w:val="16"/>
          <w:szCs w:val="16"/>
        </w:rPr>
        <w:t xml:space="preserve">, </w:t>
      </w:r>
      <w:r w:rsidRPr="00447C58">
        <w:rPr>
          <w:i/>
          <w:iCs/>
          <w:sz w:val="16"/>
          <w:szCs w:val="16"/>
        </w:rPr>
        <w:t>101</w:t>
      </w:r>
      <w:r w:rsidRPr="00B11478">
        <w:rPr>
          <w:sz w:val="16"/>
          <w:szCs w:val="16"/>
        </w:rPr>
        <w:t>(2), 631-647.</w:t>
      </w:r>
    </w:p>
    <w:sectPr w:rsidR="00B11478" w:rsidRPr="00E35104" w:rsidSect="00364DF6">
      <w:headerReference w:type="even" r:id="rId7"/>
      <w:headerReference w:type="default" r:id="rId8"/>
      <w:footerReference w:type="even" r:id="rId9"/>
      <w:footerReference w:type="default" r:id="rId10"/>
      <w:headerReference w:type="first" r:id="rId11"/>
      <w:footerReference w:type="first" r:id="rId12"/>
      <w:pgSz w:w="12240" w:h="15840"/>
      <w:pgMar w:top="1440" w:right="616" w:bottom="1440" w:left="1440"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AB970" w14:textId="77777777" w:rsidR="001D7CFC" w:rsidRDefault="001D7CFC" w:rsidP="00364DF6">
      <w:pPr>
        <w:spacing w:after="0" w:line="240" w:lineRule="auto"/>
      </w:pPr>
      <w:r>
        <w:separator/>
      </w:r>
    </w:p>
  </w:endnote>
  <w:endnote w:type="continuationSeparator" w:id="0">
    <w:p w14:paraId="47A83115" w14:textId="77777777" w:rsidR="001D7CFC" w:rsidRDefault="001D7CFC" w:rsidP="0036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8EA15" w14:textId="77777777" w:rsidR="00FA786C" w:rsidRDefault="00FA7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98DB2" w14:textId="4E867671" w:rsidR="00F23E57" w:rsidRPr="00FA786C" w:rsidRDefault="00F23E57" w:rsidP="00F23E57">
    <w:r w:rsidRPr="00FA786C">
      <w:ptab w:relativeTo="margin" w:alignment="left" w:leader="none"/>
    </w:r>
    <w:r w:rsidRPr="00FA786C">
      <w:t xml:space="preserve">This evidence summary has been prepared by undergraduate students as part of the HLTH 3057 Advanced Evidence Based Practice course. Due to limitations of assignment requirements reviews are limited to a maximum of 8 evidence sources. Conclusions and implications for clinical practice reported are provisional based on the evidence identified in this review and should be contextualized to local practice, clinical expertise and patient values.  For further information on the review process please contact </w:t>
    </w:r>
    <w:hyperlink r:id="rId1" w:history="1">
      <w:r w:rsidRPr="00FA786C">
        <w:rPr>
          <w:rStyle w:val="Hyperlink"/>
        </w:rPr>
        <w:t>steve.milanese@unisa.edu.au</w:t>
      </w:r>
    </w:hyperlink>
  </w:p>
  <w:p w14:paraId="395739B9" w14:textId="1F5C35B4" w:rsidR="00773C2E" w:rsidRPr="00F23E57" w:rsidRDefault="00773C2E" w:rsidP="00F23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435E0" w14:textId="77777777" w:rsidR="00FA786C" w:rsidRDefault="00FA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F6F61" w14:textId="77777777" w:rsidR="001D7CFC" w:rsidRDefault="001D7CFC" w:rsidP="00364DF6">
      <w:pPr>
        <w:spacing w:after="0" w:line="240" w:lineRule="auto"/>
      </w:pPr>
      <w:r>
        <w:separator/>
      </w:r>
    </w:p>
  </w:footnote>
  <w:footnote w:type="continuationSeparator" w:id="0">
    <w:p w14:paraId="7D3A398A" w14:textId="77777777" w:rsidR="001D7CFC" w:rsidRDefault="001D7CFC" w:rsidP="00364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6EDA5" w14:textId="77777777" w:rsidR="00FA786C" w:rsidRDefault="00FA7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7559A" w14:textId="526FB597" w:rsidR="00773C2E" w:rsidRDefault="00773C2E" w:rsidP="00364DF6">
    <w:pPr>
      <w:pStyle w:val="Header"/>
      <w:ind w:left="-1418"/>
    </w:pPr>
    <w:r w:rsidRPr="00364DF6">
      <w:rPr>
        <w:b/>
        <w:bCs/>
        <w:noProof/>
        <w:lang w:val="en-AU" w:eastAsia="en-AU"/>
      </w:rPr>
      <w:drawing>
        <wp:inline distT="0" distB="0" distL="0" distR="0" wp14:anchorId="229635ED" wp14:editId="6D67EEBA">
          <wp:extent cx="7762875" cy="951809"/>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98076" cy="9683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2C5A1" w14:textId="77777777" w:rsidR="00FA786C" w:rsidRDefault="00FA7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C1418"/>
    <w:multiLevelType w:val="hybridMultilevel"/>
    <w:tmpl w:val="7E8EA934"/>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 w15:restartNumberingAfterBreak="0">
    <w:nsid w:val="11470E70"/>
    <w:multiLevelType w:val="hybridMultilevel"/>
    <w:tmpl w:val="33465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FA4637"/>
    <w:multiLevelType w:val="hybridMultilevel"/>
    <w:tmpl w:val="FE187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AE"/>
    <w:rsid w:val="000208A9"/>
    <w:rsid w:val="000F569C"/>
    <w:rsid w:val="0017259D"/>
    <w:rsid w:val="001D7CFC"/>
    <w:rsid w:val="00242A89"/>
    <w:rsid w:val="00290F93"/>
    <w:rsid w:val="002B2036"/>
    <w:rsid w:val="002D1554"/>
    <w:rsid w:val="00335C85"/>
    <w:rsid w:val="00344493"/>
    <w:rsid w:val="00364DF6"/>
    <w:rsid w:val="00433AC3"/>
    <w:rsid w:val="00435387"/>
    <w:rsid w:val="00440D0F"/>
    <w:rsid w:val="00447C58"/>
    <w:rsid w:val="00472365"/>
    <w:rsid w:val="00477468"/>
    <w:rsid w:val="0047757B"/>
    <w:rsid w:val="00493EA0"/>
    <w:rsid w:val="004B4BDB"/>
    <w:rsid w:val="004D503B"/>
    <w:rsid w:val="00516452"/>
    <w:rsid w:val="00520A69"/>
    <w:rsid w:val="00561AE2"/>
    <w:rsid w:val="005B0D32"/>
    <w:rsid w:val="005B6FD9"/>
    <w:rsid w:val="006228E0"/>
    <w:rsid w:val="0062588E"/>
    <w:rsid w:val="00631D62"/>
    <w:rsid w:val="00662CBF"/>
    <w:rsid w:val="00773C2E"/>
    <w:rsid w:val="007801DE"/>
    <w:rsid w:val="007F3C65"/>
    <w:rsid w:val="0084373A"/>
    <w:rsid w:val="008A319A"/>
    <w:rsid w:val="008A4441"/>
    <w:rsid w:val="008F35F7"/>
    <w:rsid w:val="00915189"/>
    <w:rsid w:val="00923F59"/>
    <w:rsid w:val="009277B7"/>
    <w:rsid w:val="009472A4"/>
    <w:rsid w:val="00965371"/>
    <w:rsid w:val="00974F57"/>
    <w:rsid w:val="00986790"/>
    <w:rsid w:val="009A796E"/>
    <w:rsid w:val="00A04773"/>
    <w:rsid w:val="00A51B0B"/>
    <w:rsid w:val="00A80646"/>
    <w:rsid w:val="00AB1212"/>
    <w:rsid w:val="00AC7A11"/>
    <w:rsid w:val="00AE0FBE"/>
    <w:rsid w:val="00B11478"/>
    <w:rsid w:val="00B4464E"/>
    <w:rsid w:val="00BA4313"/>
    <w:rsid w:val="00BD2579"/>
    <w:rsid w:val="00BD5CE0"/>
    <w:rsid w:val="00C45E5C"/>
    <w:rsid w:val="00C53E2D"/>
    <w:rsid w:val="00C70B76"/>
    <w:rsid w:val="00C8148C"/>
    <w:rsid w:val="00D02DCC"/>
    <w:rsid w:val="00D057E2"/>
    <w:rsid w:val="00D36D43"/>
    <w:rsid w:val="00D62F4E"/>
    <w:rsid w:val="00DB2CE8"/>
    <w:rsid w:val="00E35104"/>
    <w:rsid w:val="00E45E0D"/>
    <w:rsid w:val="00E52B88"/>
    <w:rsid w:val="00E8716F"/>
    <w:rsid w:val="00EA2542"/>
    <w:rsid w:val="00EA516B"/>
    <w:rsid w:val="00F158AE"/>
    <w:rsid w:val="00F15BF9"/>
    <w:rsid w:val="00F23E57"/>
    <w:rsid w:val="00F65049"/>
    <w:rsid w:val="00FA786C"/>
    <w:rsid w:val="00FF5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D6C6BA"/>
  <w15:chartTrackingRefBased/>
  <w15:docId w15:val="{91874C78-C7A1-4D80-B6E9-54D77B63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DF6"/>
  </w:style>
  <w:style w:type="paragraph" w:styleId="Footer">
    <w:name w:val="footer"/>
    <w:basedOn w:val="Normal"/>
    <w:link w:val="FooterChar"/>
    <w:uiPriority w:val="99"/>
    <w:unhideWhenUsed/>
    <w:rsid w:val="00364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DF6"/>
  </w:style>
  <w:style w:type="character" w:styleId="Hyperlink">
    <w:name w:val="Hyperlink"/>
    <w:basedOn w:val="DefaultParagraphFont"/>
    <w:uiPriority w:val="99"/>
    <w:unhideWhenUsed/>
    <w:rsid w:val="00493EA0"/>
    <w:rPr>
      <w:color w:val="0563C1" w:themeColor="hyperlink"/>
      <w:u w:val="single"/>
    </w:rPr>
  </w:style>
  <w:style w:type="character" w:customStyle="1" w:styleId="UnresolvedMention1">
    <w:name w:val="Unresolved Mention1"/>
    <w:basedOn w:val="DefaultParagraphFont"/>
    <w:uiPriority w:val="99"/>
    <w:semiHidden/>
    <w:unhideWhenUsed/>
    <w:rsid w:val="00493EA0"/>
    <w:rPr>
      <w:color w:val="605E5C"/>
      <w:shd w:val="clear" w:color="auto" w:fill="E1DFDD"/>
    </w:rPr>
  </w:style>
  <w:style w:type="paragraph" w:styleId="ListParagraph">
    <w:name w:val="List Paragraph"/>
    <w:basedOn w:val="Normal"/>
    <w:uiPriority w:val="34"/>
    <w:qFormat/>
    <w:rsid w:val="005B6FD9"/>
    <w:pPr>
      <w:ind w:left="720"/>
      <w:contextualSpacing/>
    </w:pPr>
  </w:style>
  <w:style w:type="character" w:styleId="CommentReference">
    <w:name w:val="annotation reference"/>
    <w:basedOn w:val="DefaultParagraphFont"/>
    <w:uiPriority w:val="99"/>
    <w:semiHidden/>
    <w:unhideWhenUsed/>
    <w:rsid w:val="00D057E2"/>
    <w:rPr>
      <w:sz w:val="16"/>
      <w:szCs w:val="16"/>
    </w:rPr>
  </w:style>
  <w:style w:type="paragraph" w:styleId="CommentText">
    <w:name w:val="annotation text"/>
    <w:basedOn w:val="Normal"/>
    <w:link w:val="CommentTextChar"/>
    <w:uiPriority w:val="99"/>
    <w:semiHidden/>
    <w:unhideWhenUsed/>
    <w:rsid w:val="00D057E2"/>
    <w:pPr>
      <w:spacing w:line="240" w:lineRule="auto"/>
    </w:pPr>
    <w:rPr>
      <w:sz w:val="20"/>
      <w:szCs w:val="20"/>
    </w:rPr>
  </w:style>
  <w:style w:type="character" w:customStyle="1" w:styleId="CommentTextChar">
    <w:name w:val="Comment Text Char"/>
    <w:basedOn w:val="DefaultParagraphFont"/>
    <w:link w:val="CommentText"/>
    <w:uiPriority w:val="99"/>
    <w:semiHidden/>
    <w:rsid w:val="00D057E2"/>
    <w:rPr>
      <w:sz w:val="20"/>
      <w:szCs w:val="20"/>
    </w:rPr>
  </w:style>
  <w:style w:type="paragraph" w:styleId="CommentSubject">
    <w:name w:val="annotation subject"/>
    <w:basedOn w:val="CommentText"/>
    <w:next w:val="CommentText"/>
    <w:link w:val="CommentSubjectChar"/>
    <w:uiPriority w:val="99"/>
    <w:semiHidden/>
    <w:unhideWhenUsed/>
    <w:rsid w:val="00D057E2"/>
    <w:rPr>
      <w:b/>
      <w:bCs/>
    </w:rPr>
  </w:style>
  <w:style w:type="character" w:customStyle="1" w:styleId="CommentSubjectChar">
    <w:name w:val="Comment Subject Char"/>
    <w:basedOn w:val="CommentTextChar"/>
    <w:link w:val="CommentSubject"/>
    <w:uiPriority w:val="99"/>
    <w:semiHidden/>
    <w:rsid w:val="00D057E2"/>
    <w:rPr>
      <w:b/>
      <w:bCs/>
      <w:sz w:val="20"/>
      <w:szCs w:val="20"/>
    </w:rPr>
  </w:style>
  <w:style w:type="paragraph" w:styleId="BalloonText">
    <w:name w:val="Balloon Text"/>
    <w:basedOn w:val="Normal"/>
    <w:link w:val="BalloonTextChar"/>
    <w:uiPriority w:val="99"/>
    <w:semiHidden/>
    <w:unhideWhenUsed/>
    <w:rsid w:val="00D05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0648">
      <w:bodyDiv w:val="1"/>
      <w:marLeft w:val="0"/>
      <w:marRight w:val="0"/>
      <w:marTop w:val="0"/>
      <w:marBottom w:val="0"/>
      <w:divBdr>
        <w:top w:val="none" w:sz="0" w:space="0" w:color="auto"/>
        <w:left w:val="none" w:sz="0" w:space="0" w:color="auto"/>
        <w:bottom w:val="none" w:sz="0" w:space="0" w:color="auto"/>
        <w:right w:val="none" w:sz="0" w:space="0" w:color="auto"/>
      </w:divBdr>
    </w:div>
    <w:div w:id="673386550">
      <w:bodyDiv w:val="1"/>
      <w:marLeft w:val="0"/>
      <w:marRight w:val="0"/>
      <w:marTop w:val="0"/>
      <w:marBottom w:val="0"/>
      <w:divBdr>
        <w:top w:val="none" w:sz="0" w:space="0" w:color="auto"/>
        <w:left w:val="none" w:sz="0" w:space="0" w:color="auto"/>
        <w:bottom w:val="none" w:sz="0" w:space="0" w:color="auto"/>
        <w:right w:val="none" w:sz="0" w:space="0" w:color="auto"/>
      </w:divBdr>
    </w:div>
    <w:div w:id="1358241711">
      <w:bodyDiv w:val="1"/>
      <w:marLeft w:val="0"/>
      <w:marRight w:val="0"/>
      <w:marTop w:val="0"/>
      <w:marBottom w:val="0"/>
      <w:divBdr>
        <w:top w:val="none" w:sz="0" w:space="0" w:color="auto"/>
        <w:left w:val="none" w:sz="0" w:space="0" w:color="auto"/>
        <w:bottom w:val="none" w:sz="0" w:space="0" w:color="auto"/>
        <w:right w:val="none" w:sz="0" w:space="0" w:color="auto"/>
      </w:divBdr>
    </w:div>
    <w:div w:id="16640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teve.milanese@unisa.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Milanese</dc:creator>
  <cp:keywords/>
  <dc:description/>
  <cp:lastModifiedBy>anthea worley</cp:lastModifiedBy>
  <cp:revision>5</cp:revision>
  <cp:lastPrinted>2021-01-28T03:30:00Z</cp:lastPrinted>
  <dcterms:created xsi:type="dcterms:W3CDTF">2021-01-27T05:32:00Z</dcterms:created>
  <dcterms:modified xsi:type="dcterms:W3CDTF">2021-01-28T03:30:00Z</dcterms:modified>
</cp:coreProperties>
</file>